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F4" w:rsidRPr="000E4B5A" w:rsidRDefault="0087224D">
      <w:pPr>
        <w:rPr>
          <w:rFonts w:ascii="Times New Roman" w:hAnsi="Times New Roman" w:cs="Times New Roman"/>
          <w:b/>
          <w:sz w:val="24"/>
          <w:szCs w:val="24"/>
        </w:rPr>
      </w:pPr>
      <w:r w:rsidRPr="000E4B5A">
        <w:rPr>
          <w:rFonts w:ascii="Times New Roman" w:hAnsi="Times New Roman" w:cs="Times New Roman"/>
          <w:b/>
          <w:sz w:val="24"/>
          <w:szCs w:val="24"/>
        </w:rPr>
        <w:t>I metalli nell’olio extravergine di oliva: non solo un profilo (chimico), ma una vera impronta digitale</w:t>
      </w:r>
    </w:p>
    <w:p w:rsidR="00452707" w:rsidRPr="000E4B5A" w:rsidRDefault="00452707" w:rsidP="001D05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707" w:rsidRPr="000E4B5A" w:rsidRDefault="001D0597" w:rsidP="00452707">
      <w:pPr>
        <w:jc w:val="both"/>
        <w:rPr>
          <w:rFonts w:ascii="Times New Roman" w:hAnsi="Times New Roman" w:cs="Times New Roman"/>
          <w:sz w:val="24"/>
          <w:szCs w:val="24"/>
        </w:rPr>
      </w:pPr>
      <w:r w:rsidRPr="000E4B5A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4535B2D2" wp14:editId="3819FED4">
            <wp:simplePos x="0" y="0"/>
            <wp:positionH relativeFrom="column">
              <wp:posOffset>4692650</wp:posOffset>
            </wp:positionH>
            <wp:positionV relativeFrom="paragraph">
              <wp:posOffset>33655</wp:posOffset>
            </wp:positionV>
            <wp:extent cx="1378585" cy="18357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EBD" w:rsidRPr="000E4B5A">
        <w:rPr>
          <w:rFonts w:ascii="Times New Roman" w:hAnsi="Times New Roman" w:cs="Times New Roman"/>
          <w:sz w:val="24"/>
          <w:szCs w:val="24"/>
        </w:rPr>
        <w:t xml:space="preserve">La determinazione della </w:t>
      </w:r>
      <w:r w:rsidR="00875EBD" w:rsidRPr="000E4B5A">
        <w:rPr>
          <w:rFonts w:ascii="Times New Roman" w:hAnsi="Times New Roman" w:cs="Times New Roman"/>
          <w:b/>
          <w:sz w:val="24"/>
          <w:szCs w:val="24"/>
        </w:rPr>
        <w:t>componente inorganica</w:t>
      </w:r>
      <w:r w:rsidR="00875EBD" w:rsidRPr="000E4B5A">
        <w:rPr>
          <w:rFonts w:ascii="Times New Roman" w:hAnsi="Times New Roman" w:cs="Times New Roman"/>
          <w:sz w:val="24"/>
          <w:szCs w:val="24"/>
        </w:rPr>
        <w:t xml:space="preserve"> presente all’interno degli EVOO italiani è importante per garantirne la salubrità e la qualità. Nel corso di questo progetto si è voluto indagare sulla possibilità che il contenuto di metalli possa fornire un’impronta digitale caratterizzante per olii provenienti da diverse regioni italiane.</w:t>
      </w:r>
    </w:p>
    <w:p w:rsidR="00875EBD" w:rsidRPr="000E4B5A" w:rsidRDefault="00AE2530" w:rsidP="00452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primo luogo, </w:t>
      </w:r>
      <w:r w:rsidRPr="00AE2530">
        <w:rPr>
          <w:rFonts w:ascii="Times New Roman" w:hAnsi="Times New Roman" w:cs="Times New Roman"/>
          <w:sz w:val="24"/>
          <w:szCs w:val="24"/>
        </w:rPr>
        <w:t>al fine di verificare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530">
        <w:rPr>
          <w:rFonts w:ascii="Times New Roman" w:hAnsi="Times New Roman" w:cs="Times New Roman"/>
          <w:sz w:val="24"/>
          <w:szCs w:val="24"/>
        </w:rPr>
        <w:t>l’accuratezza dei risultati analitici e la bontà delle soluzioni standard dei metalli utilizzate, la determinazione della componente inorganica è stata condotta su un campione di riferimento certificato denominato SRM 1573a, Tomato Leaves</w:t>
      </w:r>
      <w:r w:rsidR="00875EBD" w:rsidRPr="000E4B5A">
        <w:rPr>
          <w:rFonts w:ascii="Times New Roman" w:hAnsi="Times New Roman" w:cs="Times New Roman"/>
          <w:sz w:val="24"/>
          <w:szCs w:val="24"/>
        </w:rPr>
        <w:t>. Per l’ottimizzazione della procedura di pretrattamento si è, invece, utilizzato un olio extravergine di oliva commerciale. Infine, l’intera analisi ottimizzata è stata eseguita su campioni di EVOO provenienti da diverse regioni italiane.</w:t>
      </w:r>
    </w:p>
    <w:p w:rsidR="00AE2530" w:rsidRPr="00AE2530" w:rsidRDefault="00AE2530" w:rsidP="00AE2530">
      <w:pPr>
        <w:jc w:val="both"/>
        <w:rPr>
          <w:rFonts w:ascii="Times New Roman" w:hAnsi="Times New Roman" w:cs="Times New Roman"/>
          <w:sz w:val="24"/>
          <w:szCs w:val="24"/>
        </w:rPr>
      </w:pPr>
      <w:r w:rsidRPr="00AE2530">
        <w:rPr>
          <w:rFonts w:ascii="Times New Roman" w:hAnsi="Times New Roman" w:cs="Times New Roman"/>
          <w:sz w:val="24"/>
          <w:szCs w:val="24"/>
        </w:rPr>
        <w:t>La determinazione della componente inorganica è stata eseguita mediante spettroscopia ottica con plasma ad accoppiamento induttivo (ICP-OES), strumentazione ampiamente diffusa nei laboratori privati, per quanto riguarda il contenuto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530">
        <w:rPr>
          <w:rFonts w:ascii="Times New Roman" w:hAnsi="Times New Roman" w:cs="Times New Roman"/>
          <w:sz w:val="24"/>
          <w:szCs w:val="24"/>
        </w:rPr>
        <w:t xml:space="preserve">Al, Be, </w:t>
      </w:r>
      <w:r>
        <w:rPr>
          <w:rFonts w:ascii="Times New Roman" w:hAnsi="Times New Roman" w:cs="Times New Roman"/>
          <w:sz w:val="24"/>
          <w:szCs w:val="24"/>
        </w:rPr>
        <w:t xml:space="preserve">Ca, </w:t>
      </w:r>
      <w:r w:rsidRPr="00AE2530">
        <w:rPr>
          <w:rFonts w:ascii="Times New Roman" w:hAnsi="Times New Roman" w:cs="Times New Roman"/>
          <w:sz w:val="24"/>
          <w:szCs w:val="24"/>
        </w:rPr>
        <w:t xml:space="preserve">Co, </w:t>
      </w:r>
      <w:r>
        <w:rPr>
          <w:rFonts w:ascii="Times New Roman" w:hAnsi="Times New Roman" w:cs="Times New Roman"/>
          <w:sz w:val="24"/>
          <w:szCs w:val="24"/>
        </w:rPr>
        <w:t xml:space="preserve">K, Li, </w:t>
      </w:r>
      <w:r w:rsidRPr="00AE2530">
        <w:rPr>
          <w:rFonts w:ascii="Times New Roman" w:hAnsi="Times New Roman" w:cs="Times New Roman"/>
          <w:sz w:val="24"/>
          <w:szCs w:val="24"/>
        </w:rPr>
        <w:t xml:space="preserve">Mg, </w:t>
      </w:r>
      <w:r>
        <w:rPr>
          <w:rFonts w:ascii="Times New Roman" w:hAnsi="Times New Roman" w:cs="Times New Roman"/>
          <w:sz w:val="24"/>
          <w:szCs w:val="24"/>
        </w:rPr>
        <w:t xml:space="preserve">Na, </w:t>
      </w:r>
      <w:r w:rsidRPr="00AE2530">
        <w:rPr>
          <w:rFonts w:ascii="Times New Roman" w:hAnsi="Times New Roman" w:cs="Times New Roman"/>
          <w:sz w:val="24"/>
          <w:szCs w:val="24"/>
        </w:rPr>
        <w:t>Sb</w:t>
      </w:r>
      <w:r>
        <w:rPr>
          <w:rFonts w:ascii="Times New Roman" w:hAnsi="Times New Roman" w:cs="Times New Roman"/>
          <w:sz w:val="24"/>
          <w:szCs w:val="24"/>
        </w:rPr>
        <w:t>, Se</w:t>
      </w:r>
      <w:r w:rsidRPr="00AE2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V.</w:t>
      </w:r>
    </w:p>
    <w:p w:rsidR="00875EBD" w:rsidRPr="000E4B5A" w:rsidRDefault="00875EBD" w:rsidP="00875EB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5A">
        <w:rPr>
          <w:rFonts w:ascii="Times New Roman" w:hAnsi="Times New Roman" w:cs="Times New Roman"/>
          <w:sz w:val="24"/>
          <w:szCs w:val="24"/>
        </w:rPr>
        <w:t xml:space="preserve">Metalli quali Cu, Fe, Zn, </w:t>
      </w:r>
      <w:proofErr w:type="spellStart"/>
      <w:r w:rsidRPr="000E4B5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0E4B5A">
        <w:rPr>
          <w:rFonts w:ascii="Times New Roman" w:hAnsi="Times New Roman" w:cs="Times New Roman"/>
          <w:sz w:val="24"/>
          <w:szCs w:val="24"/>
        </w:rPr>
        <w:t xml:space="preserve"> e Ni, a causa delle basse concentrazioni, sono stati determinati con la spettrometria di massa con sorgente a plasma ad accoppiamento induttivo (ICP-MS) caratterizzato da limiti di rivelabilità più bassi; con l’ICP-MS si è anche determinato il contenuto in terre rare</w:t>
      </w:r>
      <w:r w:rsidR="00AC03D6">
        <w:rPr>
          <w:rFonts w:ascii="Times New Roman" w:hAnsi="Times New Roman" w:cs="Times New Roman"/>
          <w:sz w:val="24"/>
          <w:szCs w:val="24"/>
        </w:rPr>
        <w:t xml:space="preserve"> (Ce, </w:t>
      </w:r>
      <w:proofErr w:type="spellStart"/>
      <w:r w:rsidR="00AC03D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C03D6">
        <w:rPr>
          <w:rFonts w:ascii="Times New Roman" w:hAnsi="Times New Roman" w:cs="Times New Roman"/>
          <w:sz w:val="24"/>
          <w:szCs w:val="24"/>
        </w:rPr>
        <w:t>, Gd, La, Nd, Sc, Sm</w:t>
      </w:r>
      <w:bookmarkStart w:id="0" w:name="_GoBack"/>
      <w:bookmarkEnd w:id="0"/>
      <w:r w:rsidR="00AC03D6" w:rsidRPr="00AC03D6">
        <w:rPr>
          <w:rFonts w:ascii="Times New Roman" w:hAnsi="Times New Roman" w:cs="Times New Roman"/>
          <w:sz w:val="24"/>
          <w:szCs w:val="24"/>
        </w:rPr>
        <w:t xml:space="preserve"> </w:t>
      </w:r>
      <w:r w:rsidR="00AC03D6">
        <w:rPr>
          <w:rFonts w:ascii="Times New Roman" w:hAnsi="Times New Roman" w:cs="Times New Roman"/>
          <w:sz w:val="24"/>
          <w:szCs w:val="24"/>
        </w:rPr>
        <w:t>e</w:t>
      </w:r>
      <w:r w:rsidR="00AC03D6" w:rsidRPr="00AC03D6">
        <w:rPr>
          <w:rFonts w:ascii="Times New Roman" w:hAnsi="Times New Roman" w:cs="Times New Roman"/>
          <w:sz w:val="24"/>
          <w:szCs w:val="24"/>
        </w:rPr>
        <w:t xml:space="preserve"> Y</w:t>
      </w:r>
      <w:r w:rsidR="00AC03D6">
        <w:rPr>
          <w:rFonts w:ascii="Times New Roman" w:hAnsi="Times New Roman" w:cs="Times New Roman"/>
          <w:sz w:val="24"/>
          <w:szCs w:val="24"/>
        </w:rPr>
        <w:t>)</w:t>
      </w:r>
      <w:r w:rsidRPr="000E4B5A">
        <w:rPr>
          <w:rFonts w:ascii="Times New Roman" w:hAnsi="Times New Roman" w:cs="Times New Roman"/>
          <w:sz w:val="24"/>
          <w:szCs w:val="24"/>
        </w:rPr>
        <w:t>.</w:t>
      </w:r>
      <w:r w:rsidR="000E4B5A" w:rsidRPr="000E4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EBD" w:rsidRPr="000E4B5A" w:rsidRDefault="00875EBD" w:rsidP="00875EB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5A">
        <w:rPr>
          <w:rFonts w:ascii="Times New Roman" w:hAnsi="Times New Roman" w:cs="Times New Roman"/>
          <w:sz w:val="24"/>
          <w:szCs w:val="24"/>
        </w:rPr>
        <w:t xml:space="preserve">Sui risultati ottenuti si è effettuato un trattamento </w:t>
      </w:r>
      <w:proofErr w:type="spellStart"/>
      <w:r w:rsidRPr="000E4B5A">
        <w:rPr>
          <w:rFonts w:ascii="Times New Roman" w:hAnsi="Times New Roman" w:cs="Times New Roman"/>
          <w:sz w:val="24"/>
          <w:szCs w:val="24"/>
        </w:rPr>
        <w:t>chemiometrico</w:t>
      </w:r>
      <w:proofErr w:type="spellEnd"/>
      <w:r w:rsidRPr="000E4B5A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0E4B5A">
        <w:rPr>
          <w:rFonts w:ascii="Times New Roman" w:hAnsi="Times New Roman" w:cs="Times New Roman"/>
          <w:sz w:val="24"/>
          <w:szCs w:val="24"/>
        </w:rPr>
        <w:t>tipicizzazione</w:t>
      </w:r>
      <w:proofErr w:type="spellEnd"/>
      <w:r w:rsidRPr="000E4B5A">
        <w:rPr>
          <w:rFonts w:ascii="Times New Roman" w:hAnsi="Times New Roman" w:cs="Times New Roman"/>
          <w:sz w:val="24"/>
          <w:szCs w:val="24"/>
        </w:rPr>
        <w:t xml:space="preserve"> degli oli secondo la provenienza.</w:t>
      </w:r>
    </w:p>
    <w:p w:rsidR="00875EBD" w:rsidRPr="000E4B5A" w:rsidRDefault="00875EBD" w:rsidP="00875EBD">
      <w:pPr>
        <w:jc w:val="both"/>
        <w:rPr>
          <w:rFonts w:ascii="Times New Roman" w:hAnsi="Times New Roman" w:cs="Times New Roman"/>
          <w:sz w:val="24"/>
          <w:szCs w:val="24"/>
        </w:rPr>
      </w:pPr>
      <w:r w:rsidRPr="000E4B5A">
        <w:rPr>
          <w:rFonts w:ascii="Times New Roman" w:hAnsi="Times New Roman" w:cs="Times New Roman"/>
          <w:sz w:val="24"/>
          <w:szCs w:val="24"/>
        </w:rPr>
        <w:t xml:space="preserve">Il pretrattamento dei campioni è stato inizialmente effettuato tramite semplice digestione acida in forno a microonde eseguita variando, in prove successive, i rapporti volumetrici della miscela utilizzata e l’aliquota di campione prelevato (in superficie o dal fondo della bottiglia). </w:t>
      </w:r>
      <w:r w:rsidR="000E4B5A" w:rsidRPr="000E4B5A">
        <w:rPr>
          <w:rFonts w:ascii="Times New Roman" w:hAnsi="Times New Roman" w:cs="Times New Roman"/>
          <w:sz w:val="24"/>
          <w:szCs w:val="24"/>
        </w:rPr>
        <w:t>S</w:t>
      </w:r>
      <w:r w:rsidRPr="000E4B5A">
        <w:rPr>
          <w:rFonts w:ascii="Times New Roman" w:hAnsi="Times New Roman" w:cs="Times New Roman"/>
          <w:sz w:val="24"/>
          <w:szCs w:val="24"/>
        </w:rPr>
        <w:t xml:space="preserve">i è riscontrata la problematica relativa all’elevata variabilità dei risultati ottenuti per repliche di uno stesso campione; questo ha condotto alla necessità di un ulteriore trattamento di omogeneizzazione del campione stesso. La procedura di omogeneizzazione del campione è stata </w:t>
      </w:r>
      <w:r w:rsidR="00615B46">
        <w:rPr>
          <w:rFonts w:ascii="Times New Roman" w:hAnsi="Times New Roman" w:cs="Times New Roman"/>
          <w:sz w:val="24"/>
          <w:szCs w:val="24"/>
        </w:rPr>
        <w:t xml:space="preserve">quindi </w:t>
      </w:r>
      <w:r w:rsidRPr="000E4B5A">
        <w:rPr>
          <w:rFonts w:ascii="Times New Roman" w:hAnsi="Times New Roman" w:cs="Times New Roman"/>
          <w:sz w:val="24"/>
          <w:szCs w:val="24"/>
        </w:rPr>
        <w:t xml:space="preserve">studiata mediante l’applicazione di un disegno sperimentale, in cui si sono considerate le seguenti variabili: fase di agitazione tramite agitatore magnetico, </w:t>
      </w:r>
      <w:proofErr w:type="spellStart"/>
      <w:r w:rsidRPr="000E4B5A">
        <w:rPr>
          <w:rFonts w:ascii="Times New Roman" w:hAnsi="Times New Roman" w:cs="Times New Roman"/>
          <w:sz w:val="24"/>
          <w:szCs w:val="24"/>
        </w:rPr>
        <w:t>sonicazione</w:t>
      </w:r>
      <w:proofErr w:type="spellEnd"/>
      <w:r w:rsidRPr="000E4B5A">
        <w:rPr>
          <w:rFonts w:ascii="Times New Roman" w:hAnsi="Times New Roman" w:cs="Times New Roman"/>
          <w:sz w:val="24"/>
          <w:szCs w:val="24"/>
        </w:rPr>
        <w:t xml:space="preserve"> tramite un </w:t>
      </w:r>
      <w:proofErr w:type="spellStart"/>
      <w:r w:rsidRPr="000E4B5A">
        <w:rPr>
          <w:rFonts w:ascii="Times New Roman" w:hAnsi="Times New Roman" w:cs="Times New Roman"/>
          <w:sz w:val="24"/>
          <w:szCs w:val="24"/>
        </w:rPr>
        <w:t>sonicatore</w:t>
      </w:r>
      <w:proofErr w:type="spellEnd"/>
      <w:r w:rsidRPr="000E4B5A">
        <w:rPr>
          <w:rFonts w:ascii="Times New Roman" w:hAnsi="Times New Roman" w:cs="Times New Roman"/>
          <w:sz w:val="24"/>
          <w:szCs w:val="24"/>
        </w:rPr>
        <w:t xml:space="preserve"> ad ultrasuoni, un periodo di reazione a freddo prima dell’introduzione nel digestore. La risposta ricercata è stata la minore deviazione standard percentuale</w:t>
      </w:r>
      <w:r w:rsidR="00615B46">
        <w:rPr>
          <w:rFonts w:ascii="Times New Roman" w:hAnsi="Times New Roman" w:cs="Times New Roman"/>
          <w:sz w:val="24"/>
          <w:szCs w:val="24"/>
        </w:rPr>
        <w:t>.</w:t>
      </w:r>
    </w:p>
    <w:p w:rsidR="001339A6" w:rsidRDefault="001339A6" w:rsidP="00615B46">
      <w:pPr>
        <w:jc w:val="both"/>
        <w:rPr>
          <w:rFonts w:ascii="Times New Roman" w:hAnsi="Times New Roman" w:cs="Times New Roman"/>
          <w:sz w:val="24"/>
          <w:szCs w:val="24"/>
        </w:rPr>
      </w:pPr>
      <w:r w:rsidRPr="000E4B5A">
        <w:rPr>
          <w:rFonts w:ascii="Times New Roman" w:hAnsi="Times New Roman" w:cs="Times New Roman"/>
          <w:sz w:val="24"/>
          <w:szCs w:val="24"/>
        </w:rPr>
        <w:t xml:space="preserve">I dati </w:t>
      </w:r>
      <w:r w:rsidR="00457174">
        <w:rPr>
          <w:rFonts w:ascii="Times New Roman" w:hAnsi="Times New Roman" w:cs="Times New Roman"/>
          <w:sz w:val="24"/>
          <w:szCs w:val="24"/>
        </w:rPr>
        <w:t xml:space="preserve">preliminari </w:t>
      </w:r>
      <w:r w:rsidRPr="000E4B5A">
        <w:rPr>
          <w:rFonts w:ascii="Times New Roman" w:hAnsi="Times New Roman" w:cs="Times New Roman"/>
          <w:sz w:val="24"/>
          <w:szCs w:val="24"/>
        </w:rPr>
        <w:t xml:space="preserve">ottenuti </w:t>
      </w:r>
      <w:r w:rsidR="00457174">
        <w:rPr>
          <w:rFonts w:ascii="Times New Roman" w:hAnsi="Times New Roman" w:cs="Times New Roman"/>
          <w:sz w:val="24"/>
          <w:szCs w:val="24"/>
        </w:rPr>
        <w:t xml:space="preserve">sul primo gruppo di campioni </w:t>
      </w:r>
      <w:r w:rsidRPr="000E4B5A">
        <w:rPr>
          <w:rFonts w:ascii="Times New Roman" w:hAnsi="Times New Roman" w:cs="Times New Roman"/>
          <w:sz w:val="24"/>
          <w:szCs w:val="24"/>
        </w:rPr>
        <w:t>sono stati trattati con l’analisi delle componenti principali (PCA) per valutare la possibilità di discriminare gli oli in base alla regione di provenienza. Sono stati considerati e trattati separatamente il contenuto di metalli</w:t>
      </w:r>
      <w:r w:rsidR="00615B46">
        <w:rPr>
          <w:rFonts w:ascii="Times New Roman" w:hAnsi="Times New Roman" w:cs="Times New Roman"/>
          <w:sz w:val="24"/>
          <w:szCs w:val="24"/>
        </w:rPr>
        <w:t xml:space="preserve"> e</w:t>
      </w:r>
      <w:r w:rsidRPr="000E4B5A">
        <w:rPr>
          <w:rFonts w:ascii="Times New Roman" w:hAnsi="Times New Roman" w:cs="Times New Roman"/>
          <w:sz w:val="24"/>
          <w:szCs w:val="24"/>
        </w:rPr>
        <w:t xml:space="preserve"> la composizione di terre rare</w:t>
      </w:r>
      <w:r w:rsidR="00615B46">
        <w:rPr>
          <w:rFonts w:ascii="Times New Roman" w:hAnsi="Times New Roman" w:cs="Times New Roman"/>
          <w:sz w:val="24"/>
          <w:szCs w:val="24"/>
        </w:rPr>
        <w:t>.</w:t>
      </w:r>
      <w:r w:rsidRPr="000E4B5A">
        <w:rPr>
          <w:rFonts w:ascii="Times New Roman" w:hAnsi="Times New Roman" w:cs="Times New Roman"/>
          <w:sz w:val="24"/>
          <w:szCs w:val="24"/>
        </w:rPr>
        <w:t xml:space="preserve"> Dalla PCA è emersa una maggiore capacità discriminante nel caso del contenuto di metalli: considerando le sole concentrazioni di Na, Fe, K, Al, Se, Li, Mn e Zn si ottiene un raggruppamento dei campioni di EVOO in base alla regione di provenienza. </w:t>
      </w:r>
    </w:p>
    <w:p w:rsidR="00457174" w:rsidRPr="000E4B5A" w:rsidRDefault="00457174" w:rsidP="00615B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5B46" w:rsidRPr="00457174" w:rsidRDefault="00615B46" w:rsidP="00875EBD">
      <w:pPr>
        <w:jc w:val="both"/>
        <w:rPr>
          <w:rFonts w:ascii="Times New Roman" w:hAnsi="Times New Roman" w:cs="Times New Roman"/>
          <w:sz w:val="20"/>
          <w:szCs w:val="20"/>
        </w:rPr>
      </w:pPr>
      <w:r w:rsidRPr="00457174">
        <w:rPr>
          <w:rFonts w:ascii="Times New Roman" w:hAnsi="Times New Roman" w:cs="Times New Roman"/>
          <w:sz w:val="20"/>
          <w:szCs w:val="20"/>
        </w:rPr>
        <w:t>I risultati ottenuti sono stati presentati</w:t>
      </w:r>
      <w:r w:rsidR="00457174" w:rsidRPr="00457174">
        <w:rPr>
          <w:rFonts w:ascii="Times New Roman" w:hAnsi="Times New Roman" w:cs="Times New Roman"/>
          <w:sz w:val="20"/>
          <w:szCs w:val="20"/>
        </w:rPr>
        <w:t xml:space="preserve"> al XXVI Congresso Nazionale della Società Chimica Italiana, Paestum, 10-14 settembre 2017; a CHIMALI e al  XII </w:t>
      </w:r>
      <w:proofErr w:type="spellStart"/>
      <w:r w:rsidR="00457174" w:rsidRPr="00457174">
        <w:rPr>
          <w:rFonts w:ascii="Times New Roman" w:hAnsi="Times New Roman" w:cs="Times New Roman"/>
          <w:sz w:val="20"/>
          <w:szCs w:val="20"/>
        </w:rPr>
        <w:t>Italian</w:t>
      </w:r>
      <w:proofErr w:type="spellEnd"/>
      <w:r w:rsidR="00457174" w:rsidRPr="00457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7174" w:rsidRPr="00457174">
        <w:rPr>
          <w:rFonts w:ascii="Times New Roman" w:hAnsi="Times New Roman" w:cs="Times New Roman"/>
          <w:sz w:val="20"/>
          <w:szCs w:val="20"/>
        </w:rPr>
        <w:t>Food</w:t>
      </w:r>
      <w:proofErr w:type="spellEnd"/>
      <w:r w:rsidR="00457174" w:rsidRPr="00457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7174" w:rsidRPr="00457174">
        <w:rPr>
          <w:rFonts w:ascii="Times New Roman" w:hAnsi="Times New Roman" w:cs="Times New Roman"/>
          <w:sz w:val="20"/>
          <w:szCs w:val="20"/>
        </w:rPr>
        <w:t>Chemistry</w:t>
      </w:r>
      <w:proofErr w:type="spellEnd"/>
      <w:r w:rsidR="00457174" w:rsidRPr="0045717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7174" w:rsidRPr="00457174"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 w:rsidR="00457174" w:rsidRPr="00457174">
        <w:rPr>
          <w:rFonts w:ascii="Times New Roman" w:hAnsi="Times New Roman" w:cs="Times New Roman"/>
          <w:sz w:val="20"/>
          <w:szCs w:val="20"/>
        </w:rPr>
        <w:t xml:space="preserve"> Congresso di Chimica degli Alimenti Camerino, 24-27 settembre 2018</w:t>
      </w:r>
    </w:p>
    <w:p w:rsidR="001339A6" w:rsidRPr="00457174" w:rsidRDefault="00615B46" w:rsidP="00875EB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57174">
        <w:rPr>
          <w:rFonts w:ascii="Times New Roman" w:hAnsi="Times New Roman" w:cs="Times New Roman"/>
          <w:i/>
          <w:sz w:val="20"/>
          <w:szCs w:val="20"/>
        </w:rPr>
        <w:t xml:space="preserve">Ornella </w:t>
      </w:r>
      <w:proofErr w:type="spellStart"/>
      <w:r w:rsidRPr="00457174">
        <w:rPr>
          <w:rFonts w:ascii="Times New Roman" w:hAnsi="Times New Roman" w:cs="Times New Roman"/>
          <w:i/>
          <w:sz w:val="20"/>
          <w:szCs w:val="20"/>
        </w:rPr>
        <w:t>Abollino</w:t>
      </w:r>
      <w:r w:rsidR="00A20D6C" w:rsidRPr="00A20D6C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proofErr w:type="spellEnd"/>
      <w:r w:rsidR="00A20D6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20D6C" w:rsidRPr="00457174">
        <w:rPr>
          <w:rFonts w:ascii="Times New Roman" w:hAnsi="Times New Roman" w:cs="Times New Roman"/>
          <w:i/>
          <w:sz w:val="20"/>
          <w:szCs w:val="20"/>
        </w:rPr>
        <w:t xml:space="preserve">Agnese </w:t>
      </w:r>
      <w:proofErr w:type="spellStart"/>
      <w:r w:rsidR="00A20D6C" w:rsidRPr="00457174">
        <w:rPr>
          <w:rFonts w:ascii="Times New Roman" w:hAnsi="Times New Roman" w:cs="Times New Roman"/>
          <w:i/>
          <w:sz w:val="20"/>
          <w:szCs w:val="20"/>
        </w:rPr>
        <w:t>Giacomino</w:t>
      </w:r>
      <w:r w:rsidR="00A20D6C" w:rsidRPr="00A20D6C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proofErr w:type="spellEnd"/>
    </w:p>
    <w:p w:rsidR="00615B46" w:rsidRDefault="00A20D6C" w:rsidP="00875EBD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20D6C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="00615B46" w:rsidRPr="00457174">
        <w:rPr>
          <w:rFonts w:ascii="Times New Roman" w:hAnsi="Times New Roman" w:cs="Times New Roman"/>
          <w:i/>
          <w:sz w:val="20"/>
          <w:szCs w:val="20"/>
        </w:rPr>
        <w:t>Dipartimento</w:t>
      </w:r>
      <w:proofErr w:type="spellEnd"/>
      <w:r w:rsidR="00615B46" w:rsidRPr="00457174">
        <w:rPr>
          <w:rFonts w:ascii="Times New Roman" w:hAnsi="Times New Roman" w:cs="Times New Roman"/>
          <w:i/>
          <w:sz w:val="20"/>
          <w:szCs w:val="20"/>
        </w:rPr>
        <w:t xml:space="preserve"> di Chimica, Università di Torino, via Giuria 5, 10125 Torino</w:t>
      </w:r>
    </w:p>
    <w:p w:rsidR="00A20D6C" w:rsidRPr="00457174" w:rsidRDefault="00A20D6C" w:rsidP="00A20D6C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20D6C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 w:rsidRPr="00457174">
        <w:rPr>
          <w:rFonts w:ascii="Times New Roman" w:hAnsi="Times New Roman" w:cs="Times New Roman"/>
          <w:i/>
          <w:sz w:val="20"/>
          <w:szCs w:val="20"/>
        </w:rPr>
        <w:t>Dipartimento</w:t>
      </w:r>
      <w:proofErr w:type="spellEnd"/>
      <w:r w:rsidRPr="00457174">
        <w:rPr>
          <w:rFonts w:ascii="Times New Roman" w:hAnsi="Times New Roman" w:cs="Times New Roman"/>
          <w:i/>
          <w:sz w:val="20"/>
          <w:szCs w:val="20"/>
        </w:rPr>
        <w:t xml:space="preserve"> di Scienza e </w:t>
      </w:r>
      <w:r w:rsidR="00117876">
        <w:rPr>
          <w:rFonts w:ascii="Times New Roman" w:hAnsi="Times New Roman" w:cs="Times New Roman"/>
          <w:i/>
          <w:sz w:val="20"/>
          <w:szCs w:val="20"/>
        </w:rPr>
        <w:t>T</w:t>
      </w:r>
      <w:r w:rsidRPr="00457174">
        <w:rPr>
          <w:rFonts w:ascii="Times New Roman" w:hAnsi="Times New Roman" w:cs="Times New Roman"/>
          <w:i/>
          <w:sz w:val="20"/>
          <w:szCs w:val="20"/>
        </w:rPr>
        <w:t xml:space="preserve">ecnologia del </w:t>
      </w:r>
      <w:r w:rsidR="00117876">
        <w:rPr>
          <w:rFonts w:ascii="Times New Roman" w:hAnsi="Times New Roman" w:cs="Times New Roman"/>
          <w:i/>
          <w:sz w:val="20"/>
          <w:szCs w:val="20"/>
        </w:rPr>
        <w:t>F</w:t>
      </w:r>
      <w:r w:rsidRPr="00457174">
        <w:rPr>
          <w:rFonts w:ascii="Times New Roman" w:hAnsi="Times New Roman" w:cs="Times New Roman"/>
          <w:i/>
          <w:sz w:val="20"/>
          <w:szCs w:val="20"/>
        </w:rPr>
        <w:t>armaco, Università di Torino, via Giuria 9, 10125 Torino</w:t>
      </w:r>
    </w:p>
    <w:p w:rsidR="00A20D6C" w:rsidRPr="00457174" w:rsidRDefault="00A20D6C" w:rsidP="00875EB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15B46" w:rsidRPr="00615B46" w:rsidRDefault="00615B46" w:rsidP="00875EB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15B46" w:rsidRPr="00615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D"/>
    <w:rsid w:val="0002616A"/>
    <w:rsid w:val="000E4B5A"/>
    <w:rsid w:val="00100081"/>
    <w:rsid w:val="00117876"/>
    <w:rsid w:val="001339A6"/>
    <w:rsid w:val="00194B48"/>
    <w:rsid w:val="001D0597"/>
    <w:rsid w:val="002159DD"/>
    <w:rsid w:val="00452707"/>
    <w:rsid w:val="00457174"/>
    <w:rsid w:val="00615B46"/>
    <w:rsid w:val="00692733"/>
    <w:rsid w:val="008370B4"/>
    <w:rsid w:val="0087224D"/>
    <w:rsid w:val="00875EBD"/>
    <w:rsid w:val="00A20D6C"/>
    <w:rsid w:val="00A803C2"/>
    <w:rsid w:val="00AC03D6"/>
    <w:rsid w:val="00AE2530"/>
    <w:rsid w:val="00B21B4B"/>
    <w:rsid w:val="00DD0677"/>
    <w:rsid w:val="00ED6C66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70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339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70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339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Agnese</cp:lastModifiedBy>
  <cp:revision>2</cp:revision>
  <dcterms:created xsi:type="dcterms:W3CDTF">2019-01-21T14:53:00Z</dcterms:created>
  <dcterms:modified xsi:type="dcterms:W3CDTF">2019-01-21T14:53:00Z</dcterms:modified>
</cp:coreProperties>
</file>