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0D" w:rsidRDefault="00BB460D" w:rsidP="00F24BB7">
      <w:pPr>
        <w:jc w:val="both"/>
        <w:rPr>
          <w:b/>
        </w:rPr>
      </w:pPr>
      <w:r>
        <w:rPr>
          <w:b/>
        </w:rPr>
        <w:t>I t</w:t>
      </w:r>
      <w:r w:rsidRPr="00BB460D">
        <w:rPr>
          <w:b/>
        </w:rPr>
        <w:t xml:space="preserve">est genetici per </w:t>
      </w:r>
      <w:r w:rsidRPr="00BB460D">
        <w:rPr>
          <w:b/>
          <w:i/>
        </w:rPr>
        <w:t>CYP2D6</w:t>
      </w:r>
      <w:r w:rsidRPr="00BB460D">
        <w:rPr>
          <w:b/>
        </w:rPr>
        <w:t xml:space="preserve"> e </w:t>
      </w:r>
      <w:r w:rsidRPr="00BB460D">
        <w:rPr>
          <w:b/>
          <w:i/>
        </w:rPr>
        <w:t>CYP2C19</w:t>
      </w:r>
      <w:r w:rsidRPr="00BB460D">
        <w:rPr>
          <w:b/>
        </w:rPr>
        <w:t xml:space="preserve"> </w:t>
      </w:r>
      <w:r>
        <w:rPr>
          <w:b/>
        </w:rPr>
        <w:t>consentono</w:t>
      </w:r>
      <w:r w:rsidRPr="00BB460D">
        <w:rPr>
          <w:b/>
        </w:rPr>
        <w:t xml:space="preserve"> risultati migliori </w:t>
      </w:r>
      <w:r>
        <w:rPr>
          <w:b/>
        </w:rPr>
        <w:t>nei trattamenti con antidepressivi e antipsicotici</w:t>
      </w:r>
    </w:p>
    <w:p w:rsidR="00F24BB7" w:rsidRPr="0074507B" w:rsidRDefault="00F24BB7" w:rsidP="0074507B">
      <w:pPr>
        <w:jc w:val="both"/>
        <w:rPr>
          <w:i/>
        </w:rPr>
      </w:pPr>
      <w:r w:rsidRPr="007C16B6">
        <w:rPr>
          <w:i/>
        </w:rPr>
        <w:t>A cura della Dott.ssa Sarah Allegra</w:t>
      </w:r>
    </w:p>
    <w:p w:rsidR="00F24BB7" w:rsidRPr="00F24BB7" w:rsidRDefault="00F24BB7" w:rsidP="00F24BB7">
      <w:pPr>
        <w:rPr>
          <w:rFonts w:ascii="Times New Roman" w:hAnsi="Times New Roman" w:cs="Times New Roman"/>
        </w:rPr>
      </w:pPr>
    </w:p>
    <w:p w:rsidR="00ED62D6" w:rsidRPr="00B13DFA" w:rsidRDefault="00F24BB7" w:rsidP="00F24BB7">
      <w:pPr>
        <w:rPr>
          <w:rFonts w:ascii="Times New Roman" w:eastAsia="Times New Roman" w:hAnsi="Times New Roman" w:cs="Times New Roman"/>
          <w:lang w:eastAsia="it-IT"/>
        </w:rPr>
      </w:pPr>
      <w:r w:rsidRPr="00B13DFA">
        <w:rPr>
          <w:rFonts w:ascii="Times New Roman" w:eastAsia="Times New Roman" w:hAnsi="Times New Roman" w:cs="Times New Roman"/>
          <w:lang w:eastAsia="it-IT"/>
        </w:rPr>
        <w:t xml:space="preserve">I polimorfismi nei geni che codificano per </w:t>
      </w:r>
      <w:r w:rsidR="00816975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CYP2D6 e </w:t>
      </w:r>
      <w:r w:rsidR="00816975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CYP2C19 </w:t>
      </w:r>
      <w:r w:rsidR="007E718F">
        <w:rPr>
          <w:rFonts w:ascii="Times New Roman" w:eastAsia="Times New Roman" w:hAnsi="Times New Roman" w:cs="Times New Roman"/>
          <w:lang w:eastAsia="it-IT"/>
        </w:rPr>
        <w:t xml:space="preserve">possono determinare </w:t>
      </w:r>
      <w:r w:rsidRPr="00B13DFA">
        <w:rPr>
          <w:rFonts w:ascii="Times New Roman" w:eastAsia="Times New Roman" w:hAnsi="Times New Roman" w:cs="Times New Roman"/>
          <w:lang w:eastAsia="it-IT"/>
        </w:rPr>
        <w:t>alterazion</w:t>
      </w:r>
      <w:r w:rsidR="007E718F">
        <w:rPr>
          <w:rFonts w:ascii="Times New Roman" w:eastAsia="Times New Roman" w:hAnsi="Times New Roman" w:cs="Times New Roman"/>
          <w:lang w:eastAsia="it-IT"/>
        </w:rPr>
        <w:t>i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del metabolismo della maggior parte dei farmaci psicotropi e quindi aumentano le probabilità di non rispos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ta o reazioni avverse al farmaco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. Le prime linee guida che raccomandano variazioni della dose basate sui fenotipi del CYP450 sono state pubblicate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a partire dal 2013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. Tali raccomandazioni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suggeriscono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che i </w:t>
      </w:r>
      <w:proofErr w:type="spellStart"/>
      <w:r w:rsidR="0074507B" w:rsidRPr="00B13DFA">
        <w:rPr>
          <w:rFonts w:ascii="Times New Roman" w:eastAsia="Times New Roman" w:hAnsi="Times New Roman" w:cs="Times New Roman"/>
          <w:lang w:eastAsia="it-IT"/>
        </w:rPr>
        <w:t>metabolizzatori</w:t>
      </w:r>
      <w:proofErr w:type="spellEnd"/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 lenti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(PM) 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del CYP2D6 che assumono </w:t>
      </w:r>
      <w:proofErr w:type="spellStart"/>
      <w:r w:rsidRPr="00B13DFA">
        <w:rPr>
          <w:rFonts w:ascii="Times New Roman" w:eastAsia="Times New Roman" w:hAnsi="Times New Roman" w:cs="Times New Roman"/>
          <w:lang w:eastAsia="it-IT"/>
        </w:rPr>
        <w:t>aloperidolo</w:t>
      </w:r>
      <w:proofErr w:type="spellEnd"/>
      <w:r w:rsidRPr="00B13DFA">
        <w:rPr>
          <w:rFonts w:ascii="Times New Roman" w:eastAsia="Times New Roman" w:hAnsi="Times New Roman" w:cs="Times New Roman"/>
          <w:lang w:eastAsia="it-IT"/>
        </w:rPr>
        <w:t xml:space="preserve"> dovrebbero ridurre la dose del 50% o scegliere un farmaco alternativo </w:t>
      </w:r>
      <w:r w:rsidR="00816975">
        <w:rPr>
          <w:rFonts w:ascii="Times New Roman" w:eastAsia="Times New Roman" w:hAnsi="Times New Roman" w:cs="Times New Roman"/>
          <w:lang w:eastAsia="it-IT"/>
        </w:rPr>
        <w:t>e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che i </w:t>
      </w:r>
      <w:proofErr w:type="spellStart"/>
      <w:r w:rsidR="0074507B" w:rsidRPr="00B13DFA">
        <w:rPr>
          <w:rFonts w:ascii="Times New Roman" w:eastAsia="Times New Roman" w:hAnsi="Times New Roman" w:cs="Times New Roman"/>
          <w:lang w:eastAsia="it-IT"/>
        </w:rPr>
        <w:t>metabolizzatori</w:t>
      </w:r>
      <w:proofErr w:type="spellEnd"/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 ultra-rapidi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(UM) </w:t>
      </w:r>
      <w:r w:rsidRPr="00B13DFA">
        <w:rPr>
          <w:rFonts w:ascii="Times New Roman" w:eastAsia="Times New Roman" w:hAnsi="Times New Roman" w:cs="Times New Roman"/>
          <w:lang w:eastAsia="it-IT"/>
        </w:rPr>
        <w:t>del CYP2C19 dovrebbero evitare l'</w:t>
      </w:r>
      <w:proofErr w:type="spellStart"/>
      <w:r w:rsidRPr="00B13DFA">
        <w:rPr>
          <w:rFonts w:ascii="Times New Roman" w:eastAsia="Times New Roman" w:hAnsi="Times New Roman" w:cs="Times New Roman"/>
          <w:lang w:eastAsia="it-IT"/>
        </w:rPr>
        <w:t>amitriptilina</w:t>
      </w:r>
      <w:proofErr w:type="spellEnd"/>
      <w:r w:rsidRPr="00B13DFA">
        <w:rPr>
          <w:rFonts w:ascii="Times New Roman" w:eastAsia="Times New Roman" w:hAnsi="Times New Roman" w:cs="Times New Roman"/>
          <w:lang w:eastAsia="it-IT"/>
        </w:rPr>
        <w:t xml:space="preserve">. Inoltre </w:t>
      </w:r>
      <w:r w:rsidR="00816975">
        <w:rPr>
          <w:rFonts w:ascii="Times New Roman" w:eastAsia="Times New Roman" w:hAnsi="Times New Roman" w:cs="Times New Roman"/>
          <w:lang w:eastAsia="it-IT"/>
        </w:rPr>
        <w:t xml:space="preserve">i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PM 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del CYP2D6 che assumono </w:t>
      </w:r>
      <w:proofErr w:type="spellStart"/>
      <w:r w:rsidRPr="00B13DFA">
        <w:rPr>
          <w:rFonts w:ascii="Times New Roman" w:eastAsia="Times New Roman" w:hAnsi="Times New Roman" w:cs="Times New Roman"/>
          <w:lang w:eastAsia="it-IT"/>
        </w:rPr>
        <w:t>aloperidolo</w:t>
      </w:r>
      <w:proofErr w:type="spellEnd"/>
      <w:r w:rsidRPr="00B13DFA">
        <w:rPr>
          <w:rFonts w:ascii="Times New Roman" w:eastAsia="Times New Roman" w:hAnsi="Times New Roman" w:cs="Times New Roman"/>
          <w:lang w:eastAsia="it-IT"/>
        </w:rPr>
        <w:t xml:space="preserve"> hanno un rischio maggio</w:t>
      </w:r>
      <w:r w:rsidR="00816975">
        <w:rPr>
          <w:rFonts w:ascii="Times New Roman" w:eastAsia="Times New Roman" w:hAnsi="Times New Roman" w:cs="Times New Roman"/>
          <w:lang w:eastAsia="it-IT"/>
        </w:rPr>
        <w:t>re di sintomi extra</w:t>
      </w:r>
      <w:r w:rsidR="007E718F">
        <w:rPr>
          <w:rFonts w:ascii="Times New Roman" w:eastAsia="Times New Roman" w:hAnsi="Times New Roman" w:cs="Times New Roman"/>
          <w:lang w:eastAsia="it-IT"/>
        </w:rPr>
        <w:t>piramidali e, tra questi, coloro</w:t>
      </w:r>
      <w:r w:rsidR="008169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che assumono </w:t>
      </w:r>
      <w:proofErr w:type="spellStart"/>
      <w:r w:rsidRPr="00B13DFA">
        <w:rPr>
          <w:rFonts w:ascii="Times New Roman" w:eastAsia="Times New Roman" w:hAnsi="Times New Roman" w:cs="Times New Roman"/>
          <w:lang w:eastAsia="it-IT"/>
        </w:rPr>
        <w:t>risperidone</w:t>
      </w:r>
      <w:proofErr w:type="spellEnd"/>
      <w:r w:rsidRPr="00B13DFA">
        <w:rPr>
          <w:rFonts w:ascii="Times New Roman" w:eastAsia="Times New Roman" w:hAnsi="Times New Roman" w:cs="Times New Roman"/>
          <w:lang w:eastAsia="it-IT"/>
        </w:rPr>
        <w:t xml:space="preserve">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hanno un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aumentato rischio di al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lungamento dell'intervallo QT e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/o parkinsonismo.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P</w:t>
      </w:r>
      <w:r w:rsidRPr="00B13DFA">
        <w:rPr>
          <w:rFonts w:ascii="Times New Roman" w:eastAsia="Times New Roman" w:hAnsi="Times New Roman" w:cs="Times New Roman"/>
          <w:lang w:eastAsia="it-IT"/>
        </w:rPr>
        <w:t>ochi studi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, però,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hanno esaminato l'esito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clinico </w:t>
      </w:r>
      <w:r w:rsidRPr="00B13DFA">
        <w:rPr>
          <w:rFonts w:ascii="Times New Roman" w:eastAsia="Times New Roman" w:hAnsi="Times New Roman" w:cs="Times New Roman"/>
          <w:lang w:eastAsia="it-IT"/>
        </w:rPr>
        <w:t>dopo che a</w:t>
      </w:r>
      <w:r w:rsidR="007E718F">
        <w:rPr>
          <w:rFonts w:ascii="Times New Roman" w:eastAsia="Times New Roman" w:hAnsi="Times New Roman" w:cs="Times New Roman"/>
          <w:lang w:eastAsia="it-IT"/>
        </w:rPr>
        <w:t xml:space="preserve"> medici e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pazienti sono state fornite informazioni sui genotipi </w:t>
      </w:r>
      <w:r w:rsidRPr="00816975">
        <w:rPr>
          <w:rFonts w:ascii="Times New Roman" w:eastAsia="Times New Roman" w:hAnsi="Times New Roman" w:cs="Times New Roman"/>
          <w:i/>
          <w:lang w:eastAsia="it-IT"/>
        </w:rPr>
        <w:t>CYP2D6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816975">
        <w:rPr>
          <w:rFonts w:ascii="Times New Roman" w:eastAsia="Times New Roman" w:hAnsi="Times New Roman" w:cs="Times New Roman"/>
          <w:i/>
          <w:lang w:eastAsia="it-IT"/>
        </w:rPr>
        <w:t>CYP2C19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dei pazienti. Pertanto,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 xml:space="preserve">gli autori hanno </w:t>
      </w:r>
      <w:r w:rsidRPr="00B13DFA">
        <w:rPr>
          <w:rFonts w:ascii="Times New Roman" w:eastAsia="Times New Roman" w:hAnsi="Times New Roman" w:cs="Times New Roman"/>
          <w:lang w:eastAsia="it-IT"/>
        </w:rPr>
        <w:t>condotto uno studio per valutare l'implementazione dei test farmacogenetici nella pratica clinica, determinar</w:t>
      </w:r>
      <w:r w:rsidR="00E45D27">
        <w:rPr>
          <w:rFonts w:ascii="Times New Roman" w:eastAsia="Times New Roman" w:hAnsi="Times New Roman" w:cs="Times New Roman"/>
          <w:lang w:eastAsia="it-IT"/>
        </w:rPr>
        <w:t>ne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l'utilità clinica</w:t>
      </w:r>
      <w:r w:rsidR="00E45D27">
        <w:rPr>
          <w:rFonts w:ascii="Times New Roman" w:eastAsia="Times New Roman" w:hAnsi="Times New Roman" w:cs="Times New Roman"/>
          <w:lang w:eastAsia="it-IT"/>
        </w:rPr>
        <w:t>,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seguendo i pazienti prima e dopo che il loro medico ha ricevuto </w:t>
      </w:r>
      <w:r w:rsidR="0074507B" w:rsidRPr="00B13DFA">
        <w:rPr>
          <w:rFonts w:ascii="Times New Roman" w:eastAsia="Times New Roman" w:hAnsi="Times New Roman" w:cs="Times New Roman"/>
          <w:lang w:eastAsia="it-IT"/>
        </w:rPr>
        <w:t>gli esiti dell’analisi</w:t>
      </w:r>
      <w:r w:rsidR="00E45D27">
        <w:rPr>
          <w:rFonts w:ascii="Times New Roman" w:eastAsia="Times New Roman" w:hAnsi="Times New Roman" w:cs="Times New Roman"/>
          <w:lang w:eastAsia="it-IT"/>
        </w:rPr>
        <w:t>,</w:t>
      </w:r>
      <w:r w:rsidRPr="00B13DFA">
        <w:rPr>
          <w:rFonts w:ascii="Times New Roman" w:eastAsia="Times New Roman" w:hAnsi="Times New Roman" w:cs="Times New Roman"/>
          <w:lang w:eastAsia="it-IT"/>
        </w:rPr>
        <w:t xml:space="preserve"> e valutando le opinioni </w:t>
      </w:r>
      <w:r w:rsidR="00816975">
        <w:rPr>
          <w:rFonts w:ascii="Times New Roman" w:eastAsia="Times New Roman" w:hAnsi="Times New Roman" w:cs="Times New Roman"/>
          <w:lang w:eastAsia="it-IT"/>
        </w:rPr>
        <w:t>dei</w:t>
      </w:r>
      <w:r w:rsidR="00816975" w:rsidRPr="00B13DFA">
        <w:rPr>
          <w:rFonts w:ascii="Times New Roman" w:eastAsia="Times New Roman" w:hAnsi="Times New Roman" w:cs="Times New Roman"/>
          <w:lang w:eastAsia="it-IT"/>
        </w:rPr>
        <w:t xml:space="preserve"> medici e </w:t>
      </w:r>
      <w:r w:rsidR="00816975">
        <w:rPr>
          <w:rFonts w:ascii="Times New Roman" w:eastAsia="Times New Roman" w:hAnsi="Times New Roman" w:cs="Times New Roman"/>
          <w:lang w:eastAsia="it-IT"/>
        </w:rPr>
        <w:t>dei</w:t>
      </w:r>
      <w:r w:rsidR="00816975" w:rsidRPr="00B13DFA">
        <w:rPr>
          <w:rFonts w:ascii="Times New Roman" w:eastAsia="Times New Roman" w:hAnsi="Times New Roman" w:cs="Times New Roman"/>
          <w:lang w:eastAsia="it-IT"/>
        </w:rPr>
        <w:t xml:space="preserve"> pazient</w:t>
      </w:r>
      <w:r w:rsidR="00816975">
        <w:rPr>
          <w:rFonts w:ascii="Times New Roman" w:eastAsia="Times New Roman" w:hAnsi="Times New Roman" w:cs="Times New Roman"/>
          <w:lang w:eastAsia="it-IT"/>
        </w:rPr>
        <w:t>i</w:t>
      </w:r>
      <w:r w:rsidRPr="00B13DFA">
        <w:rPr>
          <w:rFonts w:ascii="Times New Roman" w:eastAsia="Times New Roman" w:hAnsi="Times New Roman" w:cs="Times New Roman"/>
          <w:lang w:eastAsia="it-IT"/>
        </w:rPr>
        <w:t>.</w:t>
      </w:r>
    </w:p>
    <w:p w:rsidR="00F24BB7" w:rsidRPr="00F24BB7" w:rsidRDefault="00F24BB7" w:rsidP="00F24BB7">
      <w:pPr>
        <w:rPr>
          <w:rFonts w:ascii="Times New Roman" w:hAnsi="Times New Roman" w:cs="Times New Roman"/>
        </w:rPr>
      </w:pPr>
      <w:r w:rsidRPr="00F24BB7">
        <w:rPr>
          <w:rFonts w:ascii="Times New Roman" w:hAnsi="Times New Roman" w:cs="Times New Roman"/>
        </w:rPr>
        <w:t xml:space="preserve">I </w:t>
      </w:r>
      <w:r w:rsidR="000C6B88">
        <w:rPr>
          <w:rFonts w:ascii="Times New Roman" w:hAnsi="Times New Roman" w:cs="Times New Roman"/>
        </w:rPr>
        <w:t xml:space="preserve">dati dei </w:t>
      </w:r>
      <w:r w:rsidRPr="00F24BB7">
        <w:rPr>
          <w:rFonts w:ascii="Times New Roman" w:hAnsi="Times New Roman" w:cs="Times New Roman"/>
        </w:rPr>
        <w:t>pazienti arruolati</w:t>
      </w:r>
      <w:r w:rsidR="000C6B88">
        <w:rPr>
          <w:rFonts w:ascii="Times New Roman" w:hAnsi="Times New Roman" w:cs="Times New Roman"/>
        </w:rPr>
        <w:t xml:space="preserve"> sono stati raccolti </w:t>
      </w:r>
      <w:r w:rsidRPr="00F24BB7">
        <w:rPr>
          <w:rFonts w:ascii="Times New Roman" w:hAnsi="Times New Roman" w:cs="Times New Roman"/>
        </w:rPr>
        <w:t>in modo prospettico per tre mesi</w:t>
      </w:r>
      <w:r w:rsidR="000C6B88">
        <w:rPr>
          <w:rFonts w:ascii="Times New Roman" w:hAnsi="Times New Roman" w:cs="Times New Roman"/>
        </w:rPr>
        <w:t>, in tre incontri:</w:t>
      </w:r>
      <w:r w:rsidRPr="00F24BB7">
        <w:rPr>
          <w:rFonts w:ascii="Times New Roman" w:hAnsi="Times New Roman" w:cs="Times New Roman"/>
        </w:rPr>
        <w:t xml:space="preserve"> </w:t>
      </w:r>
      <w:r w:rsidR="000C6B88">
        <w:rPr>
          <w:rFonts w:ascii="Times New Roman" w:hAnsi="Times New Roman" w:cs="Times New Roman"/>
        </w:rPr>
        <w:t>prima dell’inizio della terapia</w:t>
      </w:r>
      <w:r w:rsidRPr="00F24BB7">
        <w:rPr>
          <w:rFonts w:ascii="Times New Roman" w:hAnsi="Times New Roman" w:cs="Times New Roman"/>
        </w:rPr>
        <w:t xml:space="preserve">, </w:t>
      </w:r>
      <w:r w:rsidR="000B60B9">
        <w:rPr>
          <w:rFonts w:ascii="Times New Roman" w:hAnsi="Times New Roman" w:cs="Times New Roman"/>
        </w:rPr>
        <w:t>dopo</w:t>
      </w:r>
      <w:r w:rsidRPr="00F24BB7">
        <w:rPr>
          <w:rFonts w:ascii="Times New Roman" w:hAnsi="Times New Roman" w:cs="Times New Roman"/>
        </w:rPr>
        <w:t xml:space="preserve"> 6 e 12</w:t>
      </w:r>
      <w:r w:rsidR="000B60B9">
        <w:rPr>
          <w:rFonts w:ascii="Times New Roman" w:hAnsi="Times New Roman" w:cs="Times New Roman"/>
        </w:rPr>
        <w:t xml:space="preserve"> settimane di terapia</w:t>
      </w:r>
      <w:r w:rsidRPr="00F24BB7">
        <w:rPr>
          <w:rFonts w:ascii="Times New Roman" w:hAnsi="Times New Roman" w:cs="Times New Roman"/>
        </w:rPr>
        <w:t xml:space="preserve">. </w:t>
      </w:r>
      <w:r w:rsidR="000C6B88">
        <w:rPr>
          <w:rFonts w:ascii="Times New Roman" w:hAnsi="Times New Roman" w:cs="Times New Roman"/>
        </w:rPr>
        <w:t>I</w:t>
      </w:r>
      <w:r w:rsidRPr="00F24BB7">
        <w:rPr>
          <w:rFonts w:ascii="Times New Roman" w:hAnsi="Times New Roman" w:cs="Times New Roman"/>
        </w:rPr>
        <w:t xml:space="preserve"> pazienti erano per lo più malati cronici e avevano già assunto </w:t>
      </w:r>
      <w:r w:rsidR="00194144">
        <w:rPr>
          <w:rFonts w:ascii="Times New Roman" w:hAnsi="Times New Roman" w:cs="Times New Roman"/>
        </w:rPr>
        <w:t>antipsicotici e antidepressivi</w:t>
      </w:r>
      <w:r w:rsidR="000B60B9">
        <w:rPr>
          <w:rFonts w:ascii="Times New Roman" w:hAnsi="Times New Roman" w:cs="Times New Roman"/>
        </w:rPr>
        <w:t>,</w:t>
      </w:r>
      <w:r w:rsidRPr="00F24BB7">
        <w:rPr>
          <w:rFonts w:ascii="Times New Roman" w:hAnsi="Times New Roman" w:cs="Times New Roman"/>
        </w:rPr>
        <w:t xml:space="preserve"> </w:t>
      </w:r>
      <w:r w:rsidR="000C6B88">
        <w:rPr>
          <w:rFonts w:ascii="Times New Roman" w:hAnsi="Times New Roman" w:cs="Times New Roman"/>
        </w:rPr>
        <w:t>ai quali risultavano</w:t>
      </w:r>
      <w:r w:rsidRPr="00F24BB7">
        <w:rPr>
          <w:rFonts w:ascii="Times New Roman" w:hAnsi="Times New Roman" w:cs="Times New Roman"/>
        </w:rPr>
        <w:t xml:space="preserve"> resistenti. Il DNA è stato estratto</w:t>
      </w:r>
      <w:r w:rsidR="000B60B9">
        <w:rPr>
          <w:rFonts w:ascii="Times New Roman" w:hAnsi="Times New Roman" w:cs="Times New Roman"/>
        </w:rPr>
        <w:t>;</w:t>
      </w:r>
      <w:r w:rsidRPr="00F24BB7">
        <w:rPr>
          <w:rFonts w:ascii="Times New Roman" w:hAnsi="Times New Roman" w:cs="Times New Roman"/>
        </w:rPr>
        <w:t xml:space="preserve"> per i primi 45 pazienti sono stati determinati sei alleli</w:t>
      </w:r>
      <w:r w:rsidR="000B60B9">
        <w:rPr>
          <w:rFonts w:ascii="Times New Roman" w:hAnsi="Times New Roman" w:cs="Times New Roman"/>
        </w:rPr>
        <w:t xml:space="preserve"> del</w:t>
      </w:r>
      <w:r w:rsidRPr="00F24BB7">
        <w:rPr>
          <w:rFonts w:ascii="Times New Roman" w:hAnsi="Times New Roman" w:cs="Times New Roman"/>
        </w:rPr>
        <w:t xml:space="preserve"> </w:t>
      </w:r>
      <w:r w:rsidR="000C6B88" w:rsidRPr="000C6B88">
        <w:rPr>
          <w:rFonts w:ascii="Times New Roman" w:hAnsi="Times New Roman" w:cs="Times New Roman"/>
          <w:i/>
        </w:rPr>
        <w:t>CYP2D6</w:t>
      </w:r>
      <w:r w:rsidR="000C6B88" w:rsidRPr="00F24BB7">
        <w:rPr>
          <w:rFonts w:ascii="Times New Roman" w:hAnsi="Times New Roman" w:cs="Times New Roman"/>
        </w:rPr>
        <w:t xml:space="preserve"> </w:t>
      </w:r>
      <w:r w:rsidRPr="00F24BB7">
        <w:rPr>
          <w:rFonts w:ascii="Times New Roman" w:hAnsi="Times New Roman" w:cs="Times New Roman"/>
        </w:rPr>
        <w:t xml:space="preserve">(* 3, * 4, * 5, * 10, * 17, * 41) e sono state determinate le </w:t>
      </w:r>
      <w:r w:rsidR="000C6B88">
        <w:rPr>
          <w:rFonts w:ascii="Times New Roman" w:hAnsi="Times New Roman" w:cs="Times New Roman"/>
        </w:rPr>
        <w:t>variazioni</w:t>
      </w:r>
      <w:r w:rsidRPr="00F24BB7">
        <w:rPr>
          <w:rFonts w:ascii="Times New Roman" w:hAnsi="Times New Roman" w:cs="Times New Roman"/>
        </w:rPr>
        <w:t xml:space="preserve"> del numero di copie nel gene</w:t>
      </w:r>
      <w:r w:rsidR="000C6B88">
        <w:rPr>
          <w:rFonts w:ascii="Times New Roman" w:hAnsi="Times New Roman" w:cs="Times New Roman"/>
        </w:rPr>
        <w:t>;</w:t>
      </w:r>
      <w:r w:rsidRPr="00F24BB7">
        <w:rPr>
          <w:rFonts w:ascii="Times New Roman" w:hAnsi="Times New Roman" w:cs="Times New Roman"/>
        </w:rPr>
        <w:t xml:space="preserve"> </w:t>
      </w:r>
      <w:r w:rsidR="000C6B88">
        <w:rPr>
          <w:rFonts w:ascii="Times New Roman" w:hAnsi="Times New Roman" w:cs="Times New Roman"/>
        </w:rPr>
        <w:t>inoltre</w:t>
      </w:r>
      <w:r w:rsidRPr="00F24BB7">
        <w:rPr>
          <w:rFonts w:ascii="Times New Roman" w:hAnsi="Times New Roman" w:cs="Times New Roman"/>
        </w:rPr>
        <w:t xml:space="preserve"> sono stati determinati tre alleli </w:t>
      </w:r>
      <w:r w:rsidR="000B60B9">
        <w:rPr>
          <w:rFonts w:ascii="Times New Roman" w:hAnsi="Times New Roman" w:cs="Times New Roman"/>
        </w:rPr>
        <w:t>del</w:t>
      </w:r>
      <w:r w:rsidRPr="00F24BB7">
        <w:rPr>
          <w:rFonts w:ascii="Times New Roman" w:hAnsi="Times New Roman" w:cs="Times New Roman"/>
        </w:rPr>
        <w:t xml:space="preserve"> </w:t>
      </w:r>
      <w:r w:rsidRPr="000C6B88">
        <w:rPr>
          <w:rFonts w:ascii="Times New Roman" w:hAnsi="Times New Roman" w:cs="Times New Roman"/>
          <w:i/>
        </w:rPr>
        <w:t>CYP2C19</w:t>
      </w:r>
      <w:r w:rsidR="00D815B9">
        <w:rPr>
          <w:rFonts w:ascii="Times New Roman" w:hAnsi="Times New Roman" w:cs="Times New Roman"/>
        </w:rPr>
        <w:t xml:space="preserve"> (* 2</w:t>
      </w:r>
      <w:r w:rsidRPr="00F24BB7">
        <w:rPr>
          <w:rFonts w:ascii="Times New Roman" w:hAnsi="Times New Roman" w:cs="Times New Roman"/>
        </w:rPr>
        <w:t>, * 3 e * 17)</w:t>
      </w:r>
      <w:r w:rsidR="000C6B88">
        <w:rPr>
          <w:rFonts w:ascii="Times New Roman" w:hAnsi="Times New Roman" w:cs="Times New Roman"/>
        </w:rPr>
        <w:t xml:space="preserve">. Le </w:t>
      </w:r>
      <w:r w:rsidR="00DB7FB0">
        <w:rPr>
          <w:rFonts w:ascii="Times New Roman" w:hAnsi="Times New Roman" w:cs="Times New Roman"/>
        </w:rPr>
        <w:t>analisi</w:t>
      </w:r>
      <w:r w:rsidR="000C6B88">
        <w:rPr>
          <w:rFonts w:ascii="Times New Roman" w:hAnsi="Times New Roman" w:cs="Times New Roman"/>
        </w:rPr>
        <w:t xml:space="preserve"> genetiche sono state eseguite </w:t>
      </w:r>
      <w:r w:rsidRPr="00F24BB7">
        <w:rPr>
          <w:rFonts w:ascii="Times New Roman" w:hAnsi="Times New Roman" w:cs="Times New Roman"/>
        </w:rPr>
        <w:t xml:space="preserve">usando i saggi </w:t>
      </w:r>
      <w:proofErr w:type="spellStart"/>
      <w:r w:rsidRPr="00F24BB7">
        <w:rPr>
          <w:rFonts w:ascii="Times New Roman" w:hAnsi="Times New Roman" w:cs="Times New Roman"/>
        </w:rPr>
        <w:t>TaqMan</w:t>
      </w:r>
      <w:proofErr w:type="spellEnd"/>
      <w:r w:rsidRPr="00F24BB7">
        <w:rPr>
          <w:rFonts w:ascii="Times New Roman" w:hAnsi="Times New Roman" w:cs="Times New Roman"/>
        </w:rPr>
        <w:t xml:space="preserve">®. Per la restante parte di pazienti (n = 35), la genotipizzazione è stata ampliata per valutare nove alleli </w:t>
      </w:r>
      <w:r w:rsidR="000C6B88" w:rsidRPr="00F24BB7">
        <w:rPr>
          <w:rFonts w:ascii="Times New Roman" w:hAnsi="Times New Roman" w:cs="Times New Roman"/>
        </w:rPr>
        <w:t>(* 2, * 3, * 4, * 5, * 6, * 10, * 17, * 29, * 41)</w:t>
      </w:r>
      <w:r w:rsidR="000C6B88">
        <w:rPr>
          <w:rFonts w:ascii="Times New Roman" w:hAnsi="Times New Roman" w:cs="Times New Roman"/>
        </w:rPr>
        <w:t xml:space="preserve"> </w:t>
      </w:r>
      <w:r w:rsidRPr="00F24BB7">
        <w:rPr>
          <w:rFonts w:ascii="Times New Roman" w:hAnsi="Times New Roman" w:cs="Times New Roman"/>
        </w:rPr>
        <w:t xml:space="preserve">e varianti </w:t>
      </w:r>
      <w:r w:rsidR="000C6B88">
        <w:rPr>
          <w:rFonts w:ascii="Times New Roman" w:hAnsi="Times New Roman" w:cs="Times New Roman"/>
        </w:rPr>
        <w:t>del numero di copie</w:t>
      </w:r>
      <w:r w:rsidRPr="00F24BB7">
        <w:rPr>
          <w:rFonts w:ascii="Times New Roman" w:hAnsi="Times New Roman" w:cs="Times New Roman"/>
        </w:rPr>
        <w:t xml:space="preserve"> </w:t>
      </w:r>
      <w:r w:rsidR="000B60B9">
        <w:rPr>
          <w:rFonts w:ascii="Times New Roman" w:hAnsi="Times New Roman" w:cs="Times New Roman"/>
        </w:rPr>
        <w:t>del</w:t>
      </w:r>
      <w:r w:rsidRPr="00F24BB7">
        <w:rPr>
          <w:rFonts w:ascii="Times New Roman" w:hAnsi="Times New Roman" w:cs="Times New Roman"/>
        </w:rPr>
        <w:t xml:space="preserve"> </w:t>
      </w:r>
      <w:r w:rsidRPr="000C6B88">
        <w:rPr>
          <w:rFonts w:ascii="Times New Roman" w:hAnsi="Times New Roman" w:cs="Times New Roman"/>
          <w:i/>
        </w:rPr>
        <w:t>CYP2D6</w:t>
      </w:r>
      <w:r w:rsidRPr="00F24BB7">
        <w:rPr>
          <w:rFonts w:ascii="Times New Roman" w:hAnsi="Times New Roman" w:cs="Times New Roman"/>
        </w:rPr>
        <w:t xml:space="preserve">. Sono stati anche raccolti i dati relativi ai farmaci </w:t>
      </w:r>
      <w:r w:rsidR="00194144">
        <w:rPr>
          <w:rFonts w:ascii="Times New Roman" w:hAnsi="Times New Roman" w:cs="Times New Roman"/>
        </w:rPr>
        <w:t xml:space="preserve">assunti </w:t>
      </w:r>
      <w:r w:rsidR="00194144" w:rsidRPr="00F24BB7">
        <w:rPr>
          <w:rFonts w:ascii="Times New Roman" w:hAnsi="Times New Roman" w:cs="Times New Roman"/>
        </w:rPr>
        <w:t>d</w:t>
      </w:r>
      <w:r w:rsidR="00194144">
        <w:rPr>
          <w:rFonts w:ascii="Times New Roman" w:hAnsi="Times New Roman" w:cs="Times New Roman"/>
        </w:rPr>
        <w:t>a</w:t>
      </w:r>
      <w:r w:rsidR="00194144" w:rsidRPr="00F24BB7">
        <w:rPr>
          <w:rFonts w:ascii="Times New Roman" w:hAnsi="Times New Roman" w:cs="Times New Roman"/>
        </w:rPr>
        <w:t xml:space="preserve">i pazienti, </w:t>
      </w:r>
      <w:r w:rsidR="00194144">
        <w:rPr>
          <w:rFonts w:ascii="Times New Roman" w:hAnsi="Times New Roman" w:cs="Times New Roman"/>
        </w:rPr>
        <w:t xml:space="preserve">attualmente e in passato, </w:t>
      </w:r>
      <w:r w:rsidRPr="00F24BB7">
        <w:rPr>
          <w:rFonts w:ascii="Times New Roman" w:hAnsi="Times New Roman" w:cs="Times New Roman"/>
        </w:rPr>
        <w:t xml:space="preserve">all'anamnesi, alle attuali condizioni mediche e </w:t>
      </w:r>
      <w:r w:rsidR="00194144">
        <w:rPr>
          <w:rFonts w:ascii="Times New Roman" w:hAnsi="Times New Roman" w:cs="Times New Roman"/>
        </w:rPr>
        <w:t>al</w:t>
      </w:r>
      <w:r w:rsidR="000B60B9">
        <w:rPr>
          <w:rFonts w:ascii="Times New Roman" w:hAnsi="Times New Roman" w:cs="Times New Roman"/>
        </w:rPr>
        <w:t>l’anamnesi familiare</w:t>
      </w:r>
      <w:r w:rsidRPr="00F24BB7">
        <w:rPr>
          <w:rFonts w:ascii="Times New Roman" w:hAnsi="Times New Roman" w:cs="Times New Roman"/>
        </w:rPr>
        <w:t xml:space="preserve">. Dopo l'analisi genetica, ai medici è stato fornito un breve rapporto di due pagine che colloca </w:t>
      </w:r>
      <w:r w:rsidR="00194144">
        <w:rPr>
          <w:rFonts w:ascii="Times New Roman" w:hAnsi="Times New Roman" w:cs="Times New Roman"/>
        </w:rPr>
        <w:t xml:space="preserve">i farmaci </w:t>
      </w:r>
      <w:r w:rsidRPr="00F24BB7">
        <w:rPr>
          <w:rFonts w:ascii="Times New Roman" w:hAnsi="Times New Roman" w:cs="Times New Roman"/>
        </w:rPr>
        <w:t xml:space="preserve">comunemente prescritti (18 antidepressivi e 10 antipsicotici) in uno dei tre contenitori con codice colore: rosso, giallo e verde. I farmaci nel cestino rosso </w:t>
      </w:r>
      <w:r w:rsidR="00194144">
        <w:rPr>
          <w:rFonts w:ascii="Times New Roman" w:hAnsi="Times New Roman" w:cs="Times New Roman"/>
        </w:rPr>
        <w:t>sono quelli</w:t>
      </w:r>
      <w:r w:rsidRPr="00F24BB7">
        <w:rPr>
          <w:rFonts w:ascii="Times New Roman" w:hAnsi="Times New Roman" w:cs="Times New Roman"/>
        </w:rPr>
        <w:t xml:space="preserve"> principalmente</w:t>
      </w:r>
      <w:r w:rsidR="00194144">
        <w:rPr>
          <w:rFonts w:ascii="Times New Roman" w:hAnsi="Times New Roman" w:cs="Times New Roman"/>
        </w:rPr>
        <w:t xml:space="preserve"> metabolizzati</w:t>
      </w:r>
      <w:r w:rsidRPr="00F24BB7">
        <w:rPr>
          <w:rFonts w:ascii="Times New Roman" w:hAnsi="Times New Roman" w:cs="Times New Roman"/>
        </w:rPr>
        <w:t xml:space="preserve"> dal CYP2D6 o dal CYP2C19</w:t>
      </w:r>
      <w:r w:rsidR="00194144">
        <w:rPr>
          <w:rFonts w:ascii="Times New Roman" w:hAnsi="Times New Roman" w:cs="Times New Roman"/>
        </w:rPr>
        <w:t xml:space="preserve">, che </w:t>
      </w:r>
      <w:r w:rsidRPr="00F24BB7">
        <w:rPr>
          <w:rFonts w:ascii="Times New Roman" w:hAnsi="Times New Roman" w:cs="Times New Roman"/>
        </w:rPr>
        <w:t>dovrebbe</w:t>
      </w:r>
      <w:r w:rsidR="00194144">
        <w:rPr>
          <w:rFonts w:ascii="Times New Roman" w:hAnsi="Times New Roman" w:cs="Times New Roman"/>
        </w:rPr>
        <w:t>ro</w:t>
      </w:r>
      <w:r w:rsidRPr="00F24BB7">
        <w:rPr>
          <w:rFonts w:ascii="Times New Roman" w:hAnsi="Times New Roman" w:cs="Times New Roman"/>
        </w:rPr>
        <w:t xml:space="preserve"> essere evitat</w:t>
      </w:r>
      <w:r w:rsidR="00194144">
        <w:rPr>
          <w:rFonts w:ascii="Times New Roman" w:hAnsi="Times New Roman" w:cs="Times New Roman"/>
        </w:rPr>
        <w:t>i</w:t>
      </w:r>
      <w:r w:rsidRPr="00F24BB7">
        <w:rPr>
          <w:rFonts w:ascii="Times New Roman" w:hAnsi="Times New Roman" w:cs="Times New Roman"/>
        </w:rPr>
        <w:t xml:space="preserve"> a causa del genotipo del paziente, </w:t>
      </w:r>
      <w:r w:rsidR="000B60B9">
        <w:rPr>
          <w:rFonts w:ascii="Times New Roman" w:hAnsi="Times New Roman" w:cs="Times New Roman"/>
        </w:rPr>
        <w:t>quelli</w:t>
      </w:r>
      <w:r w:rsidRPr="00F24BB7">
        <w:rPr>
          <w:rFonts w:ascii="Times New Roman" w:hAnsi="Times New Roman" w:cs="Times New Roman"/>
        </w:rPr>
        <w:t xml:space="preserve"> nel cestino verde possono essere assunti in dosaggi standard e i farmaci nel cestino giallo dovrebbe</w:t>
      </w:r>
      <w:r w:rsidR="000C6B88">
        <w:rPr>
          <w:rFonts w:ascii="Times New Roman" w:hAnsi="Times New Roman" w:cs="Times New Roman"/>
        </w:rPr>
        <w:t>ro</w:t>
      </w:r>
      <w:r w:rsidRPr="00F24BB7">
        <w:rPr>
          <w:rFonts w:ascii="Times New Roman" w:hAnsi="Times New Roman" w:cs="Times New Roman"/>
        </w:rPr>
        <w:t xml:space="preserve"> essere </w:t>
      </w:r>
      <w:r w:rsidR="000C6B88">
        <w:rPr>
          <w:rFonts w:ascii="Times New Roman" w:hAnsi="Times New Roman" w:cs="Times New Roman"/>
        </w:rPr>
        <w:t>assunti</w:t>
      </w:r>
      <w:r w:rsidRPr="00F24BB7">
        <w:rPr>
          <w:rFonts w:ascii="Times New Roman" w:hAnsi="Times New Roman" w:cs="Times New Roman"/>
        </w:rPr>
        <w:t xml:space="preserve"> con più cautela e monitoraggio frequente. </w:t>
      </w:r>
    </w:p>
    <w:p w:rsidR="00F24BB7" w:rsidRPr="00F24BB7" w:rsidRDefault="00F24BB7" w:rsidP="00F24BB7">
      <w:pPr>
        <w:rPr>
          <w:rFonts w:ascii="Times New Roman" w:hAnsi="Times New Roman" w:cs="Times New Roman"/>
        </w:rPr>
      </w:pPr>
      <w:r w:rsidRPr="00F24BB7">
        <w:rPr>
          <w:rFonts w:ascii="Times New Roman" w:hAnsi="Times New Roman" w:cs="Times New Roman"/>
        </w:rPr>
        <w:t>Le opinioni dei medici in merito allo stato clinico dei loro pazienti</w:t>
      </w:r>
      <w:r w:rsidR="00D712AE">
        <w:rPr>
          <w:rFonts w:ascii="Times New Roman" w:hAnsi="Times New Roman" w:cs="Times New Roman"/>
        </w:rPr>
        <w:t>,</w:t>
      </w:r>
      <w:r w:rsidRPr="00F24BB7">
        <w:rPr>
          <w:rFonts w:ascii="Times New Roman" w:hAnsi="Times New Roman" w:cs="Times New Roman"/>
        </w:rPr>
        <w:t xml:space="preserve"> dopo aver ricevuto le informazioni genetiche per </w:t>
      </w:r>
      <w:r w:rsidRPr="00D712AE">
        <w:rPr>
          <w:rFonts w:ascii="Times New Roman" w:hAnsi="Times New Roman" w:cs="Times New Roman"/>
          <w:i/>
        </w:rPr>
        <w:t>CYP2D6</w:t>
      </w:r>
      <w:r w:rsidRPr="00F24BB7">
        <w:rPr>
          <w:rFonts w:ascii="Times New Roman" w:hAnsi="Times New Roman" w:cs="Times New Roman"/>
        </w:rPr>
        <w:t xml:space="preserve"> e </w:t>
      </w:r>
      <w:r w:rsidRPr="00D712AE">
        <w:rPr>
          <w:rFonts w:ascii="Times New Roman" w:hAnsi="Times New Roman" w:cs="Times New Roman"/>
          <w:i/>
        </w:rPr>
        <w:t>CYP2C19</w:t>
      </w:r>
      <w:r w:rsidR="00D712AE">
        <w:rPr>
          <w:rFonts w:ascii="Times New Roman" w:hAnsi="Times New Roman" w:cs="Times New Roman"/>
        </w:rPr>
        <w:t>,</w:t>
      </w:r>
      <w:r w:rsidRPr="00F24BB7">
        <w:rPr>
          <w:rFonts w:ascii="Times New Roman" w:hAnsi="Times New Roman" w:cs="Times New Roman"/>
        </w:rPr>
        <w:t xml:space="preserve"> sono state valutate utilizzando il questionario di follow-up sulla farmacogenetica in psichiatria</w:t>
      </w:r>
      <w:r w:rsidR="000B60B9">
        <w:rPr>
          <w:rFonts w:ascii="Times New Roman" w:hAnsi="Times New Roman" w:cs="Times New Roman"/>
        </w:rPr>
        <w:t xml:space="preserve"> (PIP-FQ)</w:t>
      </w:r>
      <w:r w:rsidRPr="00F24BB7">
        <w:rPr>
          <w:rFonts w:ascii="Times New Roman" w:hAnsi="Times New Roman" w:cs="Times New Roman"/>
        </w:rPr>
        <w:t xml:space="preserve">. Nel sondaggio, i medici sono stati interrogati sulla soddisfazione del </w:t>
      </w:r>
      <w:r w:rsidR="00D712AE">
        <w:rPr>
          <w:rFonts w:ascii="Times New Roman" w:hAnsi="Times New Roman" w:cs="Times New Roman"/>
        </w:rPr>
        <w:t>test</w:t>
      </w:r>
      <w:r w:rsidRPr="00F24BB7">
        <w:rPr>
          <w:rFonts w:ascii="Times New Roman" w:hAnsi="Times New Roman" w:cs="Times New Roman"/>
        </w:rPr>
        <w:t xml:space="preserve"> farmacogenetico, sul miglioramento dello stato clinico dei loro pazienti e sul futuro della farmacogenetica in psichiatria. Il PIP-FQ è stato inviato ai medici via fax o e-mail 6–8 settimane dopo aver ricevuto il </w:t>
      </w:r>
      <w:r w:rsidR="00D712AE">
        <w:rPr>
          <w:rFonts w:ascii="Times New Roman" w:hAnsi="Times New Roman" w:cs="Times New Roman"/>
        </w:rPr>
        <w:t>risultato dell’analisi di farmacogenetica.</w:t>
      </w:r>
    </w:p>
    <w:p w:rsidR="00F24BB7" w:rsidRPr="00F24BB7" w:rsidRDefault="00D712AE" w:rsidP="00F24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</w:t>
      </w:r>
      <w:r w:rsidR="00F24BB7" w:rsidRPr="00F24BB7">
        <w:rPr>
          <w:rFonts w:ascii="Times New Roman" w:hAnsi="Times New Roman" w:cs="Times New Roman"/>
        </w:rPr>
        <w:t>, all'ingresso nello studio,</w:t>
      </w:r>
      <w:r w:rsidR="000B60B9">
        <w:rPr>
          <w:rFonts w:ascii="Times New Roman" w:hAnsi="Times New Roman" w:cs="Times New Roman"/>
        </w:rPr>
        <w:t xml:space="preserve"> in tutti i pazienti è stata valutata la tossicità della terapia</w:t>
      </w:r>
      <w:r w:rsidR="00F24BB7" w:rsidRPr="00F24BB7">
        <w:rPr>
          <w:rFonts w:ascii="Times New Roman" w:hAnsi="Times New Roman" w:cs="Times New Roman"/>
        </w:rPr>
        <w:t xml:space="preserve"> usando una</w:t>
      </w:r>
      <w:r w:rsidR="000B60B9" w:rsidRPr="000B60B9">
        <w:t xml:space="preserve"> </w:t>
      </w:r>
      <w:r w:rsidR="000B60B9" w:rsidRPr="000B60B9">
        <w:rPr>
          <w:rFonts w:ascii="Times New Roman" w:hAnsi="Times New Roman" w:cs="Times New Roman"/>
        </w:rPr>
        <w:t>scala UKU per la valutazione degli effetti collaterali</w:t>
      </w:r>
      <w:r w:rsidR="000B60B9">
        <w:rPr>
          <w:rFonts w:ascii="Times New Roman" w:hAnsi="Times New Roman" w:cs="Times New Roman"/>
        </w:rPr>
        <w:t xml:space="preserve"> modificata</w:t>
      </w:r>
      <w:r w:rsidR="00F24BB7" w:rsidRPr="00F24BB7">
        <w:rPr>
          <w:rFonts w:ascii="Times New Roman" w:hAnsi="Times New Roman" w:cs="Times New Roman"/>
        </w:rPr>
        <w:t xml:space="preserve">. </w:t>
      </w:r>
      <w:r w:rsidR="000B60B9">
        <w:rPr>
          <w:rFonts w:ascii="Times New Roman" w:hAnsi="Times New Roman" w:cs="Times New Roman"/>
        </w:rPr>
        <w:t>I</w:t>
      </w:r>
      <w:r w:rsidR="00F24BB7" w:rsidRPr="00F24BB7">
        <w:rPr>
          <w:rFonts w:ascii="Times New Roman" w:hAnsi="Times New Roman" w:cs="Times New Roman"/>
        </w:rPr>
        <w:t xml:space="preserve"> </w:t>
      </w:r>
      <w:proofErr w:type="spellStart"/>
      <w:r w:rsidR="00F24BB7" w:rsidRPr="00F24BB7">
        <w:rPr>
          <w:rFonts w:ascii="Times New Roman" w:hAnsi="Times New Roman" w:cs="Times New Roman"/>
        </w:rPr>
        <w:t>metabolizzatori</w:t>
      </w:r>
      <w:proofErr w:type="spellEnd"/>
      <w:r w:rsidR="00F24BB7" w:rsidRPr="00F24BB7">
        <w:rPr>
          <w:rFonts w:ascii="Times New Roman" w:hAnsi="Times New Roman" w:cs="Times New Roman"/>
        </w:rPr>
        <w:t xml:space="preserve"> non normali potrebbero sviluppare più effetti collaterali rispetto ai </w:t>
      </w:r>
      <w:r w:rsidR="00F24BB7" w:rsidRPr="000B60B9">
        <w:rPr>
          <w:rFonts w:ascii="Times New Roman" w:hAnsi="Times New Roman" w:cs="Times New Roman"/>
        </w:rPr>
        <w:t xml:space="preserve">normali </w:t>
      </w:r>
      <w:r w:rsidR="000B60B9">
        <w:rPr>
          <w:rFonts w:ascii="Times New Roman" w:hAnsi="Times New Roman" w:cs="Times New Roman"/>
        </w:rPr>
        <w:t>(NM)</w:t>
      </w:r>
      <w:r w:rsidR="00F24BB7" w:rsidRPr="00F24BB7">
        <w:rPr>
          <w:rFonts w:ascii="Times New Roman" w:hAnsi="Times New Roman" w:cs="Times New Roman"/>
        </w:rPr>
        <w:t xml:space="preserve">. Il punteggio minimo era 0 e il punteggio più alto 33. </w:t>
      </w:r>
      <w:r>
        <w:rPr>
          <w:rFonts w:ascii="Times New Roman" w:hAnsi="Times New Roman" w:cs="Times New Roman"/>
        </w:rPr>
        <w:t>Infine</w:t>
      </w:r>
      <w:r w:rsidR="00F24BB7" w:rsidRPr="00F24B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è stato</w:t>
      </w:r>
      <w:r w:rsidR="00F24BB7" w:rsidRPr="00F24BB7">
        <w:rPr>
          <w:rFonts w:ascii="Times New Roman" w:hAnsi="Times New Roman" w:cs="Times New Roman"/>
        </w:rPr>
        <w:t xml:space="preserve"> assegnato un punteggio di attività </w:t>
      </w:r>
      <w:r>
        <w:rPr>
          <w:rFonts w:ascii="Times New Roman" w:hAnsi="Times New Roman" w:cs="Times New Roman"/>
        </w:rPr>
        <w:t xml:space="preserve">al </w:t>
      </w:r>
      <w:r w:rsidR="00F24BB7" w:rsidRPr="00F24BB7">
        <w:rPr>
          <w:rFonts w:ascii="Times New Roman" w:hAnsi="Times New Roman" w:cs="Times New Roman"/>
        </w:rPr>
        <w:t xml:space="preserve">CYP2D6 basato sul genotipo. A ciascun allele è stato assegnato un valore compreso tra 0 e 2 in base al livello di attività e la somma dei due alleli equivaleva al punteggio di attività del CYP2D6. Successivamente, </w:t>
      </w:r>
      <w:r>
        <w:rPr>
          <w:rFonts w:ascii="Times New Roman" w:hAnsi="Times New Roman" w:cs="Times New Roman"/>
        </w:rPr>
        <w:t>questo</w:t>
      </w:r>
      <w:r w:rsidR="00F24BB7" w:rsidRPr="00F24BB7">
        <w:rPr>
          <w:rFonts w:ascii="Times New Roman" w:hAnsi="Times New Roman" w:cs="Times New Roman"/>
        </w:rPr>
        <w:t xml:space="preserve"> punteggio </w:t>
      </w:r>
      <w:r>
        <w:rPr>
          <w:rFonts w:ascii="Times New Roman" w:hAnsi="Times New Roman" w:cs="Times New Roman"/>
        </w:rPr>
        <w:t>è stato modificato</w:t>
      </w:r>
      <w:r w:rsidR="00F24BB7" w:rsidRPr="00F24BB7">
        <w:rPr>
          <w:rFonts w:ascii="Times New Roman" w:hAnsi="Times New Roman" w:cs="Times New Roman"/>
        </w:rPr>
        <w:t xml:space="preserve"> sulla </w:t>
      </w:r>
      <w:r w:rsidR="000B60B9">
        <w:rPr>
          <w:rFonts w:ascii="Times New Roman" w:hAnsi="Times New Roman" w:cs="Times New Roman"/>
        </w:rPr>
        <w:t>base dell'inibizione del CYP2D6</w:t>
      </w:r>
      <w:r>
        <w:rPr>
          <w:rFonts w:ascii="Times New Roman" w:hAnsi="Times New Roman" w:cs="Times New Roman"/>
        </w:rPr>
        <w:t xml:space="preserve">: gli autori hanno </w:t>
      </w:r>
      <w:r w:rsidR="00F24BB7" w:rsidRPr="00F24BB7">
        <w:rPr>
          <w:rFonts w:ascii="Times New Roman" w:hAnsi="Times New Roman" w:cs="Times New Roman"/>
        </w:rPr>
        <w:t>moltiplica</w:t>
      </w:r>
      <w:r w:rsidR="00D61DA0">
        <w:rPr>
          <w:rFonts w:ascii="Times New Roman" w:hAnsi="Times New Roman" w:cs="Times New Roman"/>
        </w:rPr>
        <w:t xml:space="preserve">to il punteggio di attività dell’enzima </w:t>
      </w:r>
      <w:r w:rsidR="00F24BB7" w:rsidRPr="00F24BB7">
        <w:rPr>
          <w:rFonts w:ascii="Times New Roman" w:hAnsi="Times New Roman" w:cs="Times New Roman"/>
        </w:rPr>
        <w:t xml:space="preserve">di 0,5 per l'inibizione debole e 0 per l'inibizione forte. Il punteggio dell'attività moltiplicato per il fattore inibitorio ha fornito il punteggio complessivo dell'attività. Poiché non esistono linee guida comparabili per il CYP2C19, nessuna metodologia simile è stata applicata per </w:t>
      </w:r>
      <w:r>
        <w:rPr>
          <w:rFonts w:ascii="Times New Roman" w:hAnsi="Times New Roman" w:cs="Times New Roman"/>
        </w:rPr>
        <w:t xml:space="preserve">questa </w:t>
      </w:r>
      <w:r w:rsidR="00F24BB7" w:rsidRPr="00F24BB7">
        <w:rPr>
          <w:rFonts w:ascii="Times New Roman" w:hAnsi="Times New Roman" w:cs="Times New Roman"/>
        </w:rPr>
        <w:t>analisi</w:t>
      </w:r>
      <w:r>
        <w:rPr>
          <w:rFonts w:ascii="Times New Roman" w:hAnsi="Times New Roman" w:cs="Times New Roman"/>
        </w:rPr>
        <w:t>.</w:t>
      </w:r>
    </w:p>
    <w:p w:rsidR="00F24BB7" w:rsidRPr="00F24BB7" w:rsidRDefault="00F24BB7" w:rsidP="00F24BB7">
      <w:pPr>
        <w:rPr>
          <w:rFonts w:ascii="Times New Roman" w:hAnsi="Times New Roman" w:cs="Times New Roman"/>
        </w:rPr>
      </w:pPr>
      <w:r w:rsidRPr="00F24BB7">
        <w:rPr>
          <w:rFonts w:ascii="Times New Roman" w:hAnsi="Times New Roman" w:cs="Times New Roman"/>
        </w:rPr>
        <w:lastRenderedPageBreak/>
        <w:t xml:space="preserve">Il campione </w:t>
      </w:r>
      <w:r w:rsidR="00D712AE">
        <w:rPr>
          <w:rFonts w:ascii="Times New Roman" w:hAnsi="Times New Roman" w:cs="Times New Roman"/>
        </w:rPr>
        <w:t xml:space="preserve">raccolto </w:t>
      </w:r>
      <w:r w:rsidRPr="00F24BB7">
        <w:rPr>
          <w:rFonts w:ascii="Times New Roman" w:hAnsi="Times New Roman" w:cs="Times New Roman"/>
        </w:rPr>
        <w:t xml:space="preserve">consisteva di 80 pazienti con un'età media di 43 anni a cui </w:t>
      </w:r>
      <w:r w:rsidR="00DB7FB0">
        <w:rPr>
          <w:rFonts w:ascii="Times New Roman" w:hAnsi="Times New Roman" w:cs="Times New Roman"/>
        </w:rPr>
        <w:t>sono state diagnosti</w:t>
      </w:r>
      <w:r w:rsidR="00D712AE">
        <w:rPr>
          <w:rFonts w:ascii="Times New Roman" w:hAnsi="Times New Roman" w:cs="Times New Roman"/>
        </w:rPr>
        <w:t>cate</w:t>
      </w:r>
      <w:r w:rsidRPr="00F24BB7">
        <w:rPr>
          <w:rFonts w:ascii="Times New Roman" w:hAnsi="Times New Roman" w:cs="Times New Roman"/>
        </w:rPr>
        <w:t xml:space="preserve"> schizofrenia o disturbo </w:t>
      </w:r>
      <w:proofErr w:type="spellStart"/>
      <w:r w:rsidRPr="00F24BB7">
        <w:rPr>
          <w:rFonts w:ascii="Times New Roman" w:hAnsi="Times New Roman" w:cs="Times New Roman"/>
        </w:rPr>
        <w:t>schizoaffettivo</w:t>
      </w:r>
      <w:proofErr w:type="spellEnd"/>
      <w:r w:rsidRPr="00F24BB7">
        <w:rPr>
          <w:rFonts w:ascii="Times New Roman" w:hAnsi="Times New Roman" w:cs="Times New Roman"/>
        </w:rPr>
        <w:t xml:space="preserve"> (n = 43), </w:t>
      </w:r>
      <w:r w:rsidR="00D712AE">
        <w:rPr>
          <w:rFonts w:ascii="Times New Roman" w:hAnsi="Times New Roman" w:cs="Times New Roman"/>
        </w:rPr>
        <w:t xml:space="preserve">depressione o </w:t>
      </w:r>
      <w:r w:rsidR="000B60B9">
        <w:rPr>
          <w:rFonts w:ascii="Times New Roman" w:hAnsi="Times New Roman" w:cs="Times New Roman"/>
        </w:rPr>
        <w:t>ansia (n = 32) e</w:t>
      </w:r>
      <w:r w:rsidRPr="00F24BB7">
        <w:rPr>
          <w:rFonts w:ascii="Times New Roman" w:hAnsi="Times New Roman" w:cs="Times New Roman"/>
        </w:rPr>
        <w:t xml:space="preserve"> </w:t>
      </w:r>
      <w:r w:rsidR="00D712AE">
        <w:rPr>
          <w:rFonts w:ascii="Times New Roman" w:hAnsi="Times New Roman" w:cs="Times New Roman"/>
        </w:rPr>
        <w:t xml:space="preserve">disturbi psichiatrici (n = 5). </w:t>
      </w:r>
      <w:r w:rsidRPr="00F24BB7">
        <w:rPr>
          <w:rFonts w:ascii="Times New Roman" w:hAnsi="Times New Roman" w:cs="Times New Roman"/>
        </w:rPr>
        <w:t xml:space="preserve">I partecipanti sono stati trattati con una varietà di farmaci e, nella maggior parte dei casi, i pazienti hanno assunto più di un </w:t>
      </w:r>
      <w:r w:rsidR="00CC054C">
        <w:rPr>
          <w:rFonts w:ascii="Times New Roman" w:hAnsi="Times New Roman" w:cs="Times New Roman"/>
        </w:rPr>
        <w:t>antipsicotico o antidepressivo</w:t>
      </w:r>
      <w:r w:rsidRPr="00F24BB7">
        <w:rPr>
          <w:rFonts w:ascii="Times New Roman" w:hAnsi="Times New Roman" w:cs="Times New Roman"/>
        </w:rPr>
        <w:t xml:space="preserve">. La maggior parte </w:t>
      </w:r>
      <w:r w:rsidR="00D712AE">
        <w:rPr>
          <w:rFonts w:ascii="Times New Roman" w:hAnsi="Times New Roman" w:cs="Times New Roman"/>
        </w:rPr>
        <w:t xml:space="preserve">dei pazienti era </w:t>
      </w:r>
      <w:r w:rsidRPr="00F24BB7">
        <w:rPr>
          <w:rFonts w:ascii="Times New Roman" w:hAnsi="Times New Roman" w:cs="Times New Roman"/>
        </w:rPr>
        <w:t xml:space="preserve">NM sia per CYP2D6 (n = 66, 82%) </w:t>
      </w:r>
      <w:r w:rsidR="00D712AE">
        <w:rPr>
          <w:rFonts w:ascii="Times New Roman" w:hAnsi="Times New Roman" w:cs="Times New Roman"/>
        </w:rPr>
        <w:t>che</w:t>
      </w:r>
      <w:r w:rsidRPr="00F24BB7">
        <w:rPr>
          <w:rFonts w:ascii="Times New Roman" w:hAnsi="Times New Roman" w:cs="Times New Roman"/>
        </w:rPr>
        <w:t xml:space="preserve"> per CYP2C19 (n = 54, 67,5%). </w:t>
      </w:r>
      <w:r w:rsidR="00D712AE">
        <w:rPr>
          <w:rFonts w:ascii="Times New Roman" w:hAnsi="Times New Roman" w:cs="Times New Roman"/>
        </w:rPr>
        <w:t>I</w:t>
      </w:r>
      <w:r w:rsidRPr="00F24BB7">
        <w:rPr>
          <w:rFonts w:ascii="Times New Roman" w:hAnsi="Times New Roman" w:cs="Times New Roman"/>
        </w:rPr>
        <w:t xml:space="preserve">l 23% (n = 14) dei medici ha riferito che i loro pazienti avevano un risultato migliore dopo i test di farmacogenetica. Il 41% (n = 25) dei medici non ha riportato variazioni nei risultati dei pazienti. La scala UKU è stata completata da 77 partecipanti e aveva un punteggio mediano di 4. Non vi era alcuna differenza statisticamente significativa tra i punteggi UKU </w:t>
      </w:r>
      <w:r w:rsidR="000B60B9">
        <w:rPr>
          <w:rFonts w:ascii="Times New Roman" w:hAnsi="Times New Roman" w:cs="Times New Roman"/>
        </w:rPr>
        <w:t xml:space="preserve">e </w:t>
      </w:r>
      <w:r w:rsidR="00D712AE">
        <w:rPr>
          <w:rFonts w:ascii="Times New Roman" w:hAnsi="Times New Roman" w:cs="Times New Roman"/>
        </w:rPr>
        <w:t xml:space="preserve">i vari tipi di </w:t>
      </w:r>
      <w:proofErr w:type="spellStart"/>
      <w:r w:rsidR="00D712AE">
        <w:rPr>
          <w:rFonts w:ascii="Times New Roman" w:hAnsi="Times New Roman" w:cs="Times New Roman"/>
        </w:rPr>
        <w:t>metabolizzatori</w:t>
      </w:r>
      <w:proofErr w:type="spellEnd"/>
      <w:r w:rsidRPr="00F24BB7">
        <w:rPr>
          <w:rFonts w:ascii="Times New Roman" w:hAnsi="Times New Roman" w:cs="Times New Roman"/>
        </w:rPr>
        <w:t xml:space="preserve"> sia per CYP2D6 che per CYP2C19.</w:t>
      </w:r>
      <w:r w:rsidR="000B60B9">
        <w:rPr>
          <w:rFonts w:ascii="Times New Roman" w:hAnsi="Times New Roman" w:cs="Times New Roman"/>
        </w:rPr>
        <w:t xml:space="preserve"> </w:t>
      </w:r>
      <w:r w:rsidR="00364B19">
        <w:rPr>
          <w:rFonts w:ascii="Times New Roman" w:hAnsi="Times New Roman" w:cs="Times New Roman"/>
        </w:rPr>
        <w:t>Confrontando</w:t>
      </w:r>
      <w:r w:rsidRPr="00F24BB7">
        <w:rPr>
          <w:rFonts w:ascii="Times New Roman" w:hAnsi="Times New Roman" w:cs="Times New Roman"/>
        </w:rPr>
        <w:t xml:space="preserve"> il numero di trattamenti precedenti tra pazienti NM e pazienti non NM</w:t>
      </w:r>
      <w:r w:rsidR="00A762BC">
        <w:rPr>
          <w:rFonts w:ascii="Times New Roman" w:hAnsi="Times New Roman" w:cs="Times New Roman"/>
        </w:rPr>
        <w:t>,</w:t>
      </w:r>
      <w:r w:rsidRPr="00F24BB7">
        <w:rPr>
          <w:rFonts w:ascii="Times New Roman" w:hAnsi="Times New Roman" w:cs="Times New Roman"/>
        </w:rPr>
        <w:t xml:space="preserve"> sia per </w:t>
      </w:r>
      <w:r w:rsidRPr="00364B19">
        <w:rPr>
          <w:rFonts w:ascii="Times New Roman" w:hAnsi="Times New Roman" w:cs="Times New Roman"/>
        </w:rPr>
        <w:t>CYP2D6</w:t>
      </w:r>
      <w:r w:rsidRPr="00F24BB7">
        <w:rPr>
          <w:rFonts w:ascii="Times New Roman" w:hAnsi="Times New Roman" w:cs="Times New Roman"/>
        </w:rPr>
        <w:t xml:space="preserve"> che per CYP2C19</w:t>
      </w:r>
      <w:r w:rsidR="00364B19">
        <w:rPr>
          <w:rFonts w:ascii="Times New Roman" w:hAnsi="Times New Roman" w:cs="Times New Roman"/>
        </w:rPr>
        <w:t>, non è emersa n</w:t>
      </w:r>
      <w:r w:rsidRPr="00F24BB7">
        <w:rPr>
          <w:rFonts w:ascii="Times New Roman" w:hAnsi="Times New Roman" w:cs="Times New Roman"/>
        </w:rPr>
        <w:t>essuna differenza statisticamente significativa.</w:t>
      </w:r>
    </w:p>
    <w:p w:rsidR="00D815B9" w:rsidRPr="00F24BB7" w:rsidRDefault="00A762BC" w:rsidP="00F24BB7">
      <w:pPr>
        <w:rPr>
          <w:rFonts w:ascii="Times New Roman" w:hAnsi="Times New Roman" w:cs="Times New Roman"/>
        </w:rPr>
      </w:pPr>
      <w:r w:rsidRPr="00F24BB7">
        <w:rPr>
          <w:rFonts w:ascii="Times New Roman" w:hAnsi="Times New Roman" w:cs="Times New Roman"/>
        </w:rPr>
        <w:t xml:space="preserve">Lo scopo di questo studio era valutare l'esito del </w:t>
      </w:r>
      <w:r>
        <w:rPr>
          <w:rFonts w:ascii="Times New Roman" w:hAnsi="Times New Roman" w:cs="Times New Roman"/>
        </w:rPr>
        <w:t>trattamento</w:t>
      </w:r>
      <w:r w:rsidRPr="00F24BB7">
        <w:rPr>
          <w:rFonts w:ascii="Times New Roman" w:hAnsi="Times New Roman" w:cs="Times New Roman"/>
        </w:rPr>
        <w:t xml:space="preserve"> dopo che sia il paziente che il medico avevano ricevuto il</w:t>
      </w:r>
      <w:r>
        <w:rPr>
          <w:rFonts w:ascii="Times New Roman" w:hAnsi="Times New Roman" w:cs="Times New Roman"/>
        </w:rPr>
        <w:t xml:space="preserve"> risultato del test genetico</w:t>
      </w:r>
      <w:r w:rsidRPr="00F24BB7">
        <w:rPr>
          <w:rFonts w:ascii="Times New Roman" w:hAnsi="Times New Roman" w:cs="Times New Roman"/>
        </w:rPr>
        <w:t xml:space="preserve"> per </w:t>
      </w:r>
      <w:r w:rsidRPr="000D57FC">
        <w:rPr>
          <w:rFonts w:ascii="Times New Roman" w:hAnsi="Times New Roman" w:cs="Times New Roman"/>
          <w:i/>
        </w:rPr>
        <w:t>CYP2D6</w:t>
      </w:r>
      <w:r w:rsidRPr="00F24BB7">
        <w:rPr>
          <w:rFonts w:ascii="Times New Roman" w:hAnsi="Times New Roman" w:cs="Times New Roman"/>
        </w:rPr>
        <w:t xml:space="preserve"> e </w:t>
      </w:r>
      <w:r w:rsidRPr="000D57FC">
        <w:rPr>
          <w:rFonts w:ascii="Times New Roman" w:hAnsi="Times New Roman" w:cs="Times New Roman"/>
          <w:i/>
        </w:rPr>
        <w:t>CYP2C19</w:t>
      </w:r>
      <w:r w:rsidRPr="00F24B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Q</w:t>
      </w:r>
      <w:r w:rsidRPr="00F24BB7">
        <w:rPr>
          <w:rFonts w:ascii="Times New Roman" w:hAnsi="Times New Roman" w:cs="Times New Roman"/>
        </w:rPr>
        <w:t xml:space="preserve">uasi </w:t>
      </w:r>
      <w:r>
        <w:rPr>
          <w:rFonts w:ascii="Times New Roman" w:hAnsi="Times New Roman" w:cs="Times New Roman"/>
        </w:rPr>
        <w:t>un</w:t>
      </w:r>
      <w:r w:rsidRPr="00F24BB7">
        <w:rPr>
          <w:rFonts w:ascii="Times New Roman" w:hAnsi="Times New Roman" w:cs="Times New Roman"/>
        </w:rPr>
        <w:t xml:space="preserve"> quarto dei medici ha riferito di credere che il proprio paziente </w:t>
      </w:r>
      <w:r>
        <w:rPr>
          <w:rFonts w:ascii="Times New Roman" w:hAnsi="Times New Roman" w:cs="Times New Roman"/>
        </w:rPr>
        <w:t>fosse</w:t>
      </w:r>
      <w:r w:rsidRPr="00F24BB7">
        <w:rPr>
          <w:rFonts w:ascii="Times New Roman" w:hAnsi="Times New Roman" w:cs="Times New Roman"/>
        </w:rPr>
        <w:t xml:space="preserve"> migliorato dopo aver preso in considerazione le raccomandazioni sul trattamento. Più specificamente, dei 39 pazienti che sono stati valutati in modo prospettico, 14 hanno </w:t>
      </w:r>
      <w:r w:rsidRPr="00C33CF7">
        <w:rPr>
          <w:rFonts w:ascii="Times New Roman" w:hAnsi="Times New Roman" w:cs="Times New Roman"/>
        </w:rPr>
        <w:t>beneficiato dei test di farmacogenetica e nessun paziente ha avuto un esito peggiore dopo le modifiche del trattamento basate sul genotipo. Ciò è coerente con i risultati di uno studio precedente che ha mostrato che l'80% dei medici riteneva che i test di farmacogenetica sarebbero diventati uno standard comune nel trattamento dei farmaci psichiatrici (</w:t>
      </w:r>
      <w:proofErr w:type="spellStart"/>
      <w:r w:rsidRPr="00C33CF7">
        <w:rPr>
          <w:rFonts w:ascii="Times New Roman" w:hAnsi="Times New Roman" w:cs="Times New Roman"/>
        </w:rPr>
        <w:t>Walden</w:t>
      </w:r>
      <w:proofErr w:type="spellEnd"/>
      <w:r w:rsidRPr="00C33CF7">
        <w:rPr>
          <w:rFonts w:ascii="Times New Roman" w:hAnsi="Times New Roman" w:cs="Times New Roman"/>
        </w:rPr>
        <w:t xml:space="preserve"> et al. </w:t>
      </w:r>
      <w:proofErr w:type="spellStart"/>
      <w:r w:rsidR="00C33CF7" w:rsidRPr="00C33CF7">
        <w:rPr>
          <w:rFonts w:ascii="Times New Roman" w:hAnsi="Times New Roman" w:cs="Times New Roman"/>
          <w:i/>
        </w:rPr>
        <w:t>Psychiatry</w:t>
      </w:r>
      <w:proofErr w:type="spellEnd"/>
      <w:r w:rsidR="00C33CF7" w:rsidRPr="00C33CF7">
        <w:rPr>
          <w:rFonts w:ascii="Times New Roman" w:hAnsi="Times New Roman" w:cs="Times New Roman"/>
          <w:i/>
        </w:rPr>
        <w:t xml:space="preserve"> Res </w:t>
      </w:r>
      <w:r w:rsidR="00C33CF7" w:rsidRPr="00C33CF7">
        <w:rPr>
          <w:rFonts w:ascii="Times New Roman" w:hAnsi="Times New Roman" w:cs="Times New Roman"/>
        </w:rPr>
        <w:t>2015, 229 (3):913-918</w:t>
      </w:r>
      <w:r w:rsidRPr="00C33CF7">
        <w:rPr>
          <w:rFonts w:ascii="Times New Roman" w:hAnsi="Times New Roman" w:cs="Times New Roman"/>
        </w:rPr>
        <w:t>).</w:t>
      </w:r>
      <w:r w:rsidR="00BB460D" w:rsidRPr="00C33CF7">
        <w:rPr>
          <w:rFonts w:ascii="Times New Roman" w:hAnsi="Times New Roman" w:cs="Times New Roman"/>
        </w:rPr>
        <w:t xml:space="preserve"> Inoltre</w:t>
      </w:r>
      <w:r w:rsidR="00BB460D">
        <w:rPr>
          <w:rFonts w:ascii="Times New Roman" w:hAnsi="Times New Roman" w:cs="Times New Roman"/>
        </w:rPr>
        <w:t xml:space="preserve">, ulteriori studi, con una popolazione più </w:t>
      </w:r>
      <w:r w:rsidR="00BB460D" w:rsidRPr="00BB460D">
        <w:rPr>
          <w:rFonts w:ascii="Times New Roman" w:hAnsi="Times New Roman" w:cs="Times New Roman"/>
        </w:rPr>
        <w:t>ampia e bene caratterizzata, so</w:t>
      </w:r>
      <w:r w:rsidR="00D815B9" w:rsidRPr="00BB460D">
        <w:rPr>
          <w:rFonts w:ascii="Times New Roman" w:hAnsi="Times New Roman" w:cs="Times New Roman"/>
        </w:rPr>
        <w:t xml:space="preserve">no necessari per comprendere </w:t>
      </w:r>
      <w:r w:rsidR="00BB460D" w:rsidRPr="00BB460D">
        <w:rPr>
          <w:rFonts w:ascii="Times New Roman" w:hAnsi="Times New Roman" w:cs="Times New Roman"/>
        </w:rPr>
        <w:t xml:space="preserve">meglio </w:t>
      </w:r>
      <w:r w:rsidR="00D815B9" w:rsidRPr="00BB460D">
        <w:rPr>
          <w:rFonts w:ascii="Times New Roman" w:hAnsi="Times New Roman" w:cs="Times New Roman"/>
        </w:rPr>
        <w:t>gli effetti dell</w:t>
      </w:r>
      <w:r w:rsidR="00BB460D" w:rsidRPr="00BB460D">
        <w:rPr>
          <w:rFonts w:ascii="Times New Roman" w:hAnsi="Times New Roman" w:cs="Times New Roman"/>
        </w:rPr>
        <w:t>e</w:t>
      </w:r>
      <w:r w:rsidR="00D815B9" w:rsidRPr="00BB460D">
        <w:rPr>
          <w:rFonts w:ascii="Times New Roman" w:hAnsi="Times New Roman" w:cs="Times New Roman"/>
        </w:rPr>
        <w:t xml:space="preserve"> </w:t>
      </w:r>
      <w:r w:rsidR="00BB460D" w:rsidRPr="00BB460D">
        <w:rPr>
          <w:rFonts w:ascii="Times New Roman" w:hAnsi="Times New Roman" w:cs="Times New Roman"/>
        </w:rPr>
        <w:t>varianti</w:t>
      </w:r>
      <w:r w:rsidR="00D815B9" w:rsidRPr="00BB460D">
        <w:rPr>
          <w:rFonts w:ascii="Times New Roman" w:hAnsi="Times New Roman" w:cs="Times New Roman"/>
        </w:rPr>
        <w:t xml:space="preserve"> del CYP2D6 e </w:t>
      </w:r>
      <w:r w:rsidR="00BB460D" w:rsidRPr="00BB460D">
        <w:rPr>
          <w:rFonts w:ascii="Times New Roman" w:hAnsi="Times New Roman" w:cs="Times New Roman"/>
        </w:rPr>
        <w:t>la loro correlazione con la comparsa di eventi avversi</w:t>
      </w:r>
      <w:r w:rsidR="00D815B9" w:rsidRPr="00BB460D">
        <w:rPr>
          <w:rFonts w:ascii="Times New Roman" w:hAnsi="Times New Roman" w:cs="Times New Roman"/>
        </w:rPr>
        <w:t>.</w:t>
      </w:r>
    </w:p>
    <w:p w:rsidR="00F24BB7" w:rsidRDefault="00F24BB7" w:rsidP="00F24BB7">
      <w:pPr>
        <w:rPr>
          <w:rFonts w:ascii="Times New Roman" w:hAnsi="Times New Roman" w:cs="Times New Roman"/>
        </w:rPr>
      </w:pPr>
    </w:p>
    <w:p w:rsidR="00651C01" w:rsidRPr="007C16B6" w:rsidRDefault="00651C01" w:rsidP="00651C01">
      <w:pPr>
        <w:jc w:val="both"/>
      </w:pPr>
      <w:r w:rsidRPr="007C16B6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80FEA" wp14:editId="58E728CC">
                <wp:simplePos x="0" y="0"/>
                <wp:positionH relativeFrom="margin">
                  <wp:posOffset>-53340</wp:posOffset>
                </wp:positionH>
                <wp:positionV relativeFrom="paragraph">
                  <wp:posOffset>248921</wp:posOffset>
                </wp:positionV>
                <wp:extent cx="6267450" cy="419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18CD" id="Rectangle 2" o:spid="_x0000_s1026" style="position:absolute;margin-left:-4.2pt;margin-top:19.6pt;width:493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boIQIAADw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">
                <w10:wrap anchorx="margin"/>
              </v:rect>
            </w:pict>
          </mc:Fallback>
        </mc:AlternateContent>
      </w:r>
    </w:p>
    <w:p w:rsidR="00651C01" w:rsidRPr="00BF57C8" w:rsidRDefault="00651C01" w:rsidP="00BF57C8">
      <w:pPr>
        <w:jc w:val="both"/>
        <w:rPr>
          <w:rFonts w:ascii="Times New Roman" w:hAnsi="Times New Roman" w:cs="Times New Roman"/>
        </w:rPr>
      </w:pPr>
      <w:r w:rsidRPr="00BF57C8">
        <w:rPr>
          <w:rFonts w:ascii="Times New Roman" w:hAnsi="Times New Roman" w:cs="Times New Roman"/>
        </w:rPr>
        <w:t>A seguito dell’analisi farmacogenetica, quasi uno psichiatra su quattro ha riportato un certo grado di miglioramento clinico e nessun medico ha dichiarato che le condizioni cliniche del paziente sono peggiorate.</w:t>
      </w:r>
    </w:p>
    <w:p w:rsidR="00651C01" w:rsidRDefault="00651C01" w:rsidP="00651C01">
      <w:pPr>
        <w:rPr>
          <w:b/>
          <w:sz w:val="20"/>
          <w:szCs w:val="20"/>
        </w:rPr>
      </w:pPr>
    </w:p>
    <w:p w:rsidR="00651C01" w:rsidRPr="00BF57C8" w:rsidRDefault="00651C01" w:rsidP="00651C01">
      <w:pPr>
        <w:rPr>
          <w:rFonts w:ascii="Times New Roman" w:hAnsi="Times New Roman" w:cs="Times New Roman"/>
          <w:b/>
          <w:sz w:val="20"/>
          <w:szCs w:val="20"/>
        </w:rPr>
      </w:pPr>
    </w:p>
    <w:p w:rsidR="00651C01" w:rsidRPr="00BF57C8" w:rsidRDefault="00651C01" w:rsidP="00651C01">
      <w:pPr>
        <w:rPr>
          <w:rFonts w:ascii="Times New Roman" w:hAnsi="Times New Roman" w:cs="Times New Roman"/>
          <w:i/>
          <w:sz w:val="20"/>
          <w:szCs w:val="20"/>
        </w:rPr>
      </w:pPr>
      <w:r w:rsidRPr="00BF57C8">
        <w:rPr>
          <w:rFonts w:ascii="Times New Roman" w:hAnsi="Times New Roman" w:cs="Times New Roman"/>
          <w:b/>
          <w:sz w:val="20"/>
          <w:szCs w:val="20"/>
        </w:rPr>
        <w:t xml:space="preserve">Parole chiave: </w:t>
      </w:r>
      <w:r w:rsidRPr="00BF57C8">
        <w:rPr>
          <w:rFonts w:ascii="Times New Roman" w:hAnsi="Times New Roman" w:cs="Times New Roman"/>
          <w:sz w:val="20"/>
          <w:szCs w:val="20"/>
        </w:rPr>
        <w:t xml:space="preserve">malattie psichiatriche, psicofarmaci, </w:t>
      </w:r>
      <w:bookmarkStart w:id="0" w:name="_GoBack"/>
      <w:bookmarkEnd w:id="0"/>
      <w:r w:rsidRPr="00BF57C8">
        <w:rPr>
          <w:rFonts w:ascii="Times New Roman" w:hAnsi="Times New Roman" w:cs="Times New Roman"/>
          <w:i/>
          <w:sz w:val="20"/>
          <w:szCs w:val="20"/>
        </w:rPr>
        <w:t>CYP2D6, CYP2C19.</w:t>
      </w:r>
    </w:p>
    <w:p w:rsidR="00651C01" w:rsidRPr="00BF57C8" w:rsidRDefault="00651C01" w:rsidP="00651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7C8">
        <w:rPr>
          <w:rFonts w:ascii="Times New Roman" w:hAnsi="Times New Roman" w:cs="Times New Roman"/>
          <w:b/>
          <w:sz w:val="20"/>
          <w:szCs w:val="20"/>
        </w:rPr>
        <w:t>Riferimento bibliografico</w:t>
      </w:r>
    </w:p>
    <w:p w:rsidR="00871D0A" w:rsidRPr="00BF57C8" w:rsidRDefault="00651C01" w:rsidP="00871D0A">
      <w:pPr>
        <w:rPr>
          <w:rFonts w:ascii="Times New Roman" w:hAnsi="Times New Roman" w:cs="Times New Roman"/>
          <w:sz w:val="20"/>
          <w:lang w:val="en-GB"/>
        </w:rPr>
      </w:pPr>
      <w:proofErr w:type="spellStart"/>
      <w:r w:rsidRPr="00BF57C8">
        <w:rPr>
          <w:rFonts w:ascii="Times New Roman" w:hAnsi="Times New Roman" w:cs="Times New Roman"/>
          <w:sz w:val="20"/>
        </w:rPr>
        <w:t>Walden</w:t>
      </w:r>
      <w:proofErr w:type="spellEnd"/>
      <w:r w:rsidRPr="00BF57C8">
        <w:rPr>
          <w:rFonts w:ascii="Times New Roman" w:hAnsi="Times New Roman" w:cs="Times New Roman"/>
          <w:sz w:val="20"/>
        </w:rPr>
        <w:t xml:space="preserve"> LM et al. </w:t>
      </w:r>
      <w:r w:rsidRPr="00BF57C8">
        <w:rPr>
          <w:rFonts w:ascii="Times New Roman" w:hAnsi="Times New Roman" w:cs="Times New Roman"/>
          <w:i/>
          <w:sz w:val="20"/>
          <w:lang w:val="en-GB"/>
        </w:rPr>
        <w:t>Psychiatry Res</w:t>
      </w:r>
      <w:r w:rsidRPr="00BF57C8">
        <w:rPr>
          <w:rFonts w:ascii="Times New Roman" w:hAnsi="Times New Roman" w:cs="Times New Roman"/>
          <w:sz w:val="20"/>
          <w:lang w:val="en-GB"/>
        </w:rPr>
        <w:t> 2019</w:t>
      </w:r>
      <w:r w:rsidR="00871D0A" w:rsidRPr="00BF57C8">
        <w:rPr>
          <w:rFonts w:ascii="Times New Roman" w:hAnsi="Times New Roman" w:cs="Times New Roman"/>
          <w:sz w:val="20"/>
          <w:lang w:val="en-GB"/>
        </w:rPr>
        <w:t>, 279:111-115</w:t>
      </w:r>
    </w:p>
    <w:p w:rsidR="00871D0A" w:rsidRPr="00651C01" w:rsidRDefault="00871D0A" w:rsidP="00F24BB7">
      <w:pPr>
        <w:rPr>
          <w:rFonts w:ascii="Times New Roman" w:hAnsi="Times New Roman" w:cs="Times New Roman"/>
          <w:sz w:val="20"/>
          <w:lang w:val="en-GB"/>
        </w:rPr>
      </w:pPr>
    </w:p>
    <w:sectPr w:rsidR="00871D0A" w:rsidRPr="00651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7"/>
    <w:rsid w:val="000B60B9"/>
    <w:rsid w:val="000C6B88"/>
    <w:rsid w:val="000D57FC"/>
    <w:rsid w:val="00194144"/>
    <w:rsid w:val="00364B19"/>
    <w:rsid w:val="00651C01"/>
    <w:rsid w:val="0074507B"/>
    <w:rsid w:val="00755048"/>
    <w:rsid w:val="007E718F"/>
    <w:rsid w:val="00816975"/>
    <w:rsid w:val="00871D0A"/>
    <w:rsid w:val="00A762BC"/>
    <w:rsid w:val="00B13DFA"/>
    <w:rsid w:val="00B41490"/>
    <w:rsid w:val="00BB460D"/>
    <w:rsid w:val="00BB68B8"/>
    <w:rsid w:val="00BE0D6D"/>
    <w:rsid w:val="00BF57C8"/>
    <w:rsid w:val="00C33CF7"/>
    <w:rsid w:val="00C41A96"/>
    <w:rsid w:val="00CC054C"/>
    <w:rsid w:val="00D61DA0"/>
    <w:rsid w:val="00D712AE"/>
    <w:rsid w:val="00D815B9"/>
    <w:rsid w:val="00DB7FB0"/>
    <w:rsid w:val="00E24F1E"/>
    <w:rsid w:val="00E45D27"/>
    <w:rsid w:val="00E813B0"/>
    <w:rsid w:val="00F24BB7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A5C7"/>
  <w15:chartTrackingRefBased/>
  <w15:docId w15:val="{AAEB38AE-6001-4344-A65A-79E8E1D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DF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5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ALLEGRA</dc:creator>
  <cp:keywords/>
  <dc:description/>
  <cp:lastModifiedBy>SARAH ALLEGRA</cp:lastModifiedBy>
  <cp:revision>23</cp:revision>
  <cp:lastPrinted>2019-09-09T13:11:00Z</cp:lastPrinted>
  <dcterms:created xsi:type="dcterms:W3CDTF">2019-09-04T12:08:00Z</dcterms:created>
  <dcterms:modified xsi:type="dcterms:W3CDTF">2019-09-13T12:24:00Z</dcterms:modified>
</cp:coreProperties>
</file>