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/>
          <w:color w:val="1F497D"/>
          <w:highlight w:val="white"/>
        </w:rPr>
      </w:pPr>
      <w:bookmarkStart w:id="0" w:name="_GoBack"/>
      <w:bookmarkEnd w:id="0"/>
      <w:r>
        <w:drawing>
          <wp:anchor behindDoc="1" distT="0" distB="0" distL="114300" distR="114300" simplePos="0" locked="0" layoutInCell="1" allowOverlap="1" relativeHeight="2">
            <wp:simplePos x="0" y="0"/>
            <wp:positionH relativeFrom="margin">
              <wp:posOffset>4448175</wp:posOffset>
            </wp:positionH>
            <wp:positionV relativeFrom="paragraph">
              <wp:posOffset>143510</wp:posOffset>
            </wp:positionV>
            <wp:extent cx="1353820" cy="752475"/>
            <wp:effectExtent l="0" t="0" r="0" b="0"/>
            <wp:wrapSquare wrapText="bothSides"/>
            <wp:docPr id="1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070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color w:val="1F497D"/>
          <w:shd w:fill="FFFFFF" w:val="clear"/>
        </w:rPr>
        <w:t xml:space="preserve"> </w:t>
      </w:r>
      <w:r>
        <w:rPr>
          <w:rFonts w:cs="Calibri"/>
          <w:color w:val="1F497D"/>
          <w:shd w:fill="FFFFFF" w:val="clear"/>
        </w:rPr>
        <w:t xml:space="preserve">                                                  </w:t>
      </w:r>
      <w:r>
        <w:rPr/>
        <w:drawing>
          <wp:inline distT="0" distB="0" distL="0" distR="0">
            <wp:extent cx="1684655" cy="1148715"/>
            <wp:effectExtent l="0" t="0" r="0" b="0"/>
            <wp:docPr id="2" name="Immagine 4" descr="C:\Users\Utente\AppData\Local\Packages\Microsoft.Office.Desktop_8wekyb3d8bbwe\AC\INetCache\Content.MSO\54AF6E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C:\Users\Utente\AppData\Local\Packages\Microsoft.Office.Desktop_8wekyb3d8bbwe\AC\INetCache\Content.MSO\54AF6E55.tmp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color w:val="1F497D"/>
          <w:shd w:fill="FFFFFF" w:val="clear"/>
        </w:rPr>
        <w:t xml:space="preserve">   </w:t>
      </w:r>
    </w:p>
    <w:p>
      <w:pPr>
        <w:pStyle w:val="Normal"/>
        <w:rPr>
          <w:rFonts w:ascii="Calibri" w:hAnsi="Calibri" w:cs="Calibri"/>
          <w:color w:val="1F497D"/>
          <w:highlight w:val="white"/>
        </w:rPr>
      </w:pPr>
      <w:r>
        <w:rPr>
          <w:rFonts w:cs="Calibri"/>
          <w:color w:val="1F497D"/>
          <w:shd w:fill="FFFFFF" w:val="clear"/>
        </w:rPr>
        <w:t xml:space="preserve">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Arial Narrow" w:hAnsi="Arial Narrow" w:cs="Calibri"/>
          <w:b/>
          <w:b/>
          <w:color w:val="C00000"/>
          <w:sz w:val="52"/>
          <w:szCs w:val="52"/>
          <w:highlight w:val="white"/>
        </w:rPr>
      </w:pPr>
      <w:r>
        <w:rPr>
          <w:rFonts w:cs="Calibri" w:ascii="Arial Narrow" w:hAnsi="Arial Narrow"/>
          <w:b/>
          <w:color w:val="C00000"/>
          <w:sz w:val="52"/>
          <w:szCs w:val="52"/>
          <w:shd w:fill="FFFFFF" w:val="clear"/>
        </w:rPr>
        <w:t>“</w:t>
      </w:r>
      <w:r>
        <w:rPr>
          <w:rFonts w:cs="Calibri" w:ascii="Arial Narrow" w:hAnsi="Arial Narrow"/>
          <w:b/>
          <w:color w:val="C00000"/>
          <w:sz w:val="52"/>
          <w:szCs w:val="52"/>
          <w:shd w:fill="FFFFFF" w:val="clear"/>
        </w:rPr>
        <w:t>MUTUO: DISCIPLINA, PROBLEMI ED INDICAZIONI DELLA SUPREMA CORTE”</w:t>
      </w:r>
    </w:p>
    <w:p>
      <w:pPr>
        <w:pStyle w:val="Normal"/>
        <w:jc w:val="center"/>
        <w:rPr>
          <w:rFonts w:ascii="Arial Narrow" w:hAnsi="Arial Narrow" w:cs="Calibri"/>
          <w:b/>
          <w:b/>
          <w:color w:val="2F5496" w:themeColor="accent1" w:themeShade="bf"/>
          <w:sz w:val="40"/>
          <w:szCs w:val="40"/>
          <w:highlight w:val="white"/>
        </w:rPr>
      </w:pPr>
      <w:r>
        <w:rPr>
          <w:rFonts w:cs="Calibri" w:ascii="Arial Narrow" w:hAnsi="Arial Narrow"/>
          <w:b/>
          <w:color w:val="2F5496" w:themeColor="accent1" w:themeShade="bf"/>
          <w:sz w:val="40"/>
          <w:szCs w:val="40"/>
          <w:shd w:fill="FFFFFF" w:val="clear"/>
        </w:rPr>
        <w:t>Cuneo, 5 dicembre 2019 - ore 15,00 – 19,00</w:t>
      </w:r>
    </w:p>
    <w:p>
      <w:pPr>
        <w:pStyle w:val="Normal"/>
        <w:jc w:val="center"/>
        <w:rPr>
          <w:rFonts w:ascii="Arial Narrow" w:hAnsi="Arial Narrow" w:cs="Calibri"/>
          <w:color w:val="4472C4" w:themeColor="accent1"/>
          <w:sz w:val="36"/>
          <w:szCs w:val="36"/>
          <w:highlight w:val="whit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Università ex Mater Amabilis di Cuneo Via A. Ferraris di Celle, 2 </w:t>
      </w:r>
    </w:p>
    <w:p>
      <w:pPr>
        <w:pStyle w:val="Normal"/>
        <w:rPr>
          <w:rFonts w:ascii="Arial Narrow" w:hAnsi="Arial Narrow" w:cs="Calibri"/>
          <w:b/>
          <w:b/>
          <w:bCs/>
          <w:color w:val="1F497D"/>
          <w:sz w:val="28"/>
          <w:szCs w:val="28"/>
          <w:highlight w:val="white"/>
          <w:u w:val="single"/>
        </w:rPr>
      </w:pPr>
      <w:r>
        <w:rPr>
          <w:rFonts w:cs="Calibri" w:ascii="Arial Narrow" w:hAnsi="Arial Narrow"/>
          <w:b/>
          <w:bCs/>
          <w:color w:val="1F497D"/>
          <w:sz w:val="28"/>
          <w:szCs w:val="28"/>
          <w:u w:val="single"/>
          <w:shd w:fill="FFFFFF" w:val="clear"/>
        </w:rPr>
      </w:r>
    </w:p>
    <w:p>
      <w:pPr>
        <w:pStyle w:val="Normal"/>
        <w:rPr>
          <w:rFonts w:ascii="Arial Narrow" w:hAnsi="Arial Narrow" w:cs="Calibri"/>
          <w:b/>
          <w:b/>
          <w:bCs/>
          <w:color w:val="1F497D"/>
          <w:sz w:val="28"/>
          <w:szCs w:val="28"/>
          <w:highlight w:val="white"/>
          <w:u w:val="single"/>
        </w:rPr>
      </w:pPr>
      <w:r>
        <w:rPr>
          <w:rFonts w:cs="Calibri" w:ascii="Arial Narrow" w:hAnsi="Arial Narrow"/>
          <w:b/>
          <w:bCs/>
          <w:color w:val="1F497D"/>
          <w:sz w:val="28"/>
          <w:szCs w:val="28"/>
          <w:u w:val="single"/>
          <w:shd w:fill="FFFFFF" w:val="clear"/>
        </w:rPr>
        <w:t>PROGRAMMA</w:t>
      </w:r>
    </w:p>
    <w:p>
      <w:pPr>
        <w:pStyle w:val="Normal"/>
        <w:jc w:val="both"/>
        <w:rPr>
          <w:rFonts w:ascii="Arial Narrow" w:hAnsi="Arial Narrow" w:cs="Arial"/>
          <w:b/>
          <w:b/>
          <w:color w:val="000000"/>
          <w:sz w:val="28"/>
          <w:szCs w:val="28"/>
          <w:highlight w:val="white"/>
        </w:rPr>
      </w:pPr>
      <w:r>
        <w:rPr>
          <w:rFonts w:cs="Arial" w:ascii="Arial Narrow" w:hAnsi="Arial Narrow"/>
          <w:b/>
          <w:color w:val="000000"/>
          <w:sz w:val="28"/>
          <w:szCs w:val="28"/>
          <w:shd w:fill="FFFFFF" w:val="clear"/>
        </w:rPr>
        <w:t>Ore 14.45 – 15.00 Registrazione partecipanti</w:t>
      </w:r>
    </w:p>
    <w:p>
      <w:pPr>
        <w:pStyle w:val="Normal"/>
        <w:spacing w:before="0" w:after="0"/>
        <w:jc w:val="both"/>
        <w:rPr>
          <w:rFonts w:ascii="Arial Narrow" w:hAnsi="Arial Narrow" w:cs="Arial"/>
          <w:bCs/>
          <w:color w:val="000000" w:themeColor="text1"/>
          <w:sz w:val="28"/>
          <w:szCs w:val="28"/>
          <w:highlight w:val="white"/>
        </w:rPr>
      </w:pPr>
      <w:r>
        <w:rPr>
          <w:rFonts w:cs="Arial" w:ascii="Arial Narrow" w:hAnsi="Arial Narrow"/>
          <w:bCs/>
          <w:color w:val="000000" w:themeColor="text1"/>
          <w:sz w:val="28"/>
          <w:szCs w:val="28"/>
          <w:shd w:fill="FFFFFF" w:val="clear"/>
        </w:rPr>
        <w:t>Indirizzi di saluto dal Presidente del Tribunale di Cuneo Dott. Paolo Giovanni Demarchi Albengo e dal Presidente dell’Ordine degli Avvocati di Cuneo Avv. Claudio Massa</w:t>
      </w:r>
    </w:p>
    <w:p>
      <w:pPr>
        <w:pStyle w:val="Normal"/>
        <w:spacing w:before="0" w:after="0"/>
        <w:jc w:val="both"/>
        <w:rPr>
          <w:rFonts w:ascii="Arial Narrow" w:hAnsi="Arial Narrow" w:cs="Arial"/>
          <w:b/>
          <w:b/>
          <w:bCs/>
          <w:color w:val="000000" w:themeColor="text1"/>
          <w:sz w:val="28"/>
          <w:szCs w:val="28"/>
          <w:highlight w:val="white"/>
        </w:rPr>
      </w:pPr>
      <w:r>
        <w:rPr>
          <w:rFonts w:cs="Arial" w:ascii="Arial Narrow" w:hAnsi="Arial Narrow"/>
          <w:b/>
          <w:bCs/>
          <w:color w:val="000000" w:themeColor="text1"/>
          <w:sz w:val="28"/>
          <w:szCs w:val="28"/>
          <w:shd w:fill="FFFFFF" w:val="clear"/>
        </w:rPr>
      </w:r>
    </w:p>
    <w:p>
      <w:pPr>
        <w:pStyle w:val="Normal"/>
        <w:spacing w:before="0" w:after="0"/>
        <w:jc w:val="both"/>
        <w:rPr>
          <w:rFonts w:ascii="Arial Narrow" w:hAnsi="Arial Narrow" w:cs="Arial"/>
          <w:color w:val="000000"/>
          <w:sz w:val="26"/>
          <w:szCs w:val="26"/>
          <w:highlight w:val="white"/>
        </w:rPr>
      </w:pPr>
      <w:r>
        <w:rPr>
          <w:rFonts w:cs="Arial" w:ascii="Arial Narrow" w:hAnsi="Arial Narrow"/>
          <w:color w:val="000000"/>
          <w:sz w:val="26"/>
          <w:szCs w:val="26"/>
          <w:shd w:fill="FFFFFF" w:val="clear"/>
        </w:rPr>
        <w:t xml:space="preserve">Moderatore : </w:t>
      </w:r>
      <w:r>
        <w:rPr>
          <w:rFonts w:cs="Arial" w:ascii="Arial Narrow" w:hAnsi="Arial Narrow"/>
          <w:b/>
          <w:color w:val="000000"/>
          <w:sz w:val="26"/>
          <w:szCs w:val="26"/>
          <w:shd w:fill="FFFFFF" w:val="clear"/>
        </w:rPr>
        <w:t>Avv. Alberto</w:t>
      </w:r>
      <w:r>
        <w:rPr>
          <w:rFonts w:cs="Arial" w:ascii="Arial Narrow" w:hAnsi="Arial Narrow"/>
          <w:color w:val="000000"/>
          <w:sz w:val="26"/>
          <w:szCs w:val="26"/>
          <w:shd w:fill="FFFFFF" w:val="clear"/>
        </w:rPr>
        <w:t xml:space="preserve"> </w:t>
      </w:r>
      <w:r>
        <w:rPr>
          <w:rFonts w:cs="Arial" w:ascii="Arial Narrow" w:hAnsi="Arial Narrow"/>
          <w:b/>
          <w:color w:val="000000"/>
          <w:sz w:val="26"/>
          <w:szCs w:val="26"/>
          <w:shd w:fill="FFFFFF" w:val="clear"/>
        </w:rPr>
        <w:t>Bassignano</w:t>
      </w:r>
      <w:r>
        <w:rPr>
          <w:rFonts w:cs="Arial" w:ascii="Arial Narrow" w:hAnsi="Arial Narrow"/>
          <w:color w:val="000000"/>
          <w:sz w:val="26"/>
          <w:szCs w:val="26"/>
          <w:shd w:fill="FFFFFF" w:val="clear"/>
        </w:rPr>
        <w:t xml:space="preserve"> Delegato Cassa Forense</w:t>
      </w:r>
    </w:p>
    <w:p>
      <w:pPr>
        <w:pStyle w:val="Normal"/>
        <w:spacing w:before="0" w:after="0"/>
        <w:jc w:val="both"/>
        <w:rPr>
          <w:rFonts w:ascii="Arial Narrow" w:hAnsi="Arial Narrow" w:cs="Arial"/>
          <w:color w:val="000000"/>
          <w:sz w:val="26"/>
          <w:szCs w:val="26"/>
          <w:highlight w:val="white"/>
        </w:rPr>
      </w:pPr>
      <w:r>
        <w:rPr>
          <w:rFonts w:cs="Arial" w:ascii="Arial Narrow" w:hAnsi="Arial Narrow"/>
          <w:color w:val="000000"/>
          <w:sz w:val="26"/>
          <w:szCs w:val="26"/>
          <w:shd w:fill="FFFFFF" w:val="clear"/>
        </w:rPr>
      </w:r>
    </w:p>
    <w:p>
      <w:pPr>
        <w:pStyle w:val="Normal"/>
        <w:jc w:val="both"/>
        <w:rPr>
          <w:rFonts w:ascii="Arial Narrow" w:hAnsi="Arial Narrow" w:cs="Arial"/>
          <w:b/>
          <w:b/>
          <w:color w:val="000000"/>
          <w:sz w:val="28"/>
          <w:szCs w:val="28"/>
          <w:highlight w:val="white"/>
        </w:rPr>
      </w:pPr>
      <w:r>
        <w:rPr>
          <w:rFonts w:cs="Arial" w:ascii="Arial Narrow" w:hAnsi="Arial Narrow"/>
          <w:b/>
          <w:color w:val="000000"/>
          <w:sz w:val="28"/>
          <w:szCs w:val="28"/>
          <w:shd w:fill="FFFFFF" w:val="clear"/>
        </w:rPr>
        <w:t xml:space="preserve">I sessione </w:t>
      </w:r>
    </w:p>
    <w:p>
      <w:pPr>
        <w:pStyle w:val="Normal"/>
        <w:spacing w:lineRule="atLeast" w:line="300" w:before="0" w:after="0"/>
        <w:jc w:val="both"/>
        <w:rPr>
          <w:rFonts w:ascii="Arial Narrow" w:hAnsi="Arial Narrow" w:cs="Arial"/>
          <w:bCs/>
          <w:i/>
          <w:i/>
          <w:color w:val="000000" w:themeColor="text1"/>
          <w:sz w:val="28"/>
          <w:szCs w:val="28"/>
          <w:highlight w:val="white"/>
          <w:u w:val="single"/>
        </w:rPr>
      </w:pPr>
      <w:r>
        <w:rPr>
          <w:rFonts w:cs="Arial" w:ascii="Arial Narrow" w:hAnsi="Arial Narrow"/>
          <w:bCs/>
          <w:i/>
          <w:color w:val="000000" w:themeColor="text1"/>
          <w:sz w:val="28"/>
          <w:szCs w:val="28"/>
          <w:u w:val="single"/>
          <w:shd w:fill="FFFFFF" w:val="clear"/>
        </w:rPr>
        <w:t>Considerazioni generali sul contratto di mutuo (mutuo ordinario, mutuo fondiario ed altre tipologie)</w:t>
      </w:r>
    </w:p>
    <w:p>
      <w:pPr>
        <w:pStyle w:val="Normal"/>
        <w:spacing w:lineRule="atLeast" w:line="300" w:before="0" w:after="0"/>
        <w:jc w:val="both"/>
        <w:rPr>
          <w:rFonts w:ascii="Arial Narrow" w:hAnsi="Arial Narrow" w:cs="Arial"/>
          <w:iCs/>
          <w:color w:val="000000"/>
          <w:sz w:val="26"/>
          <w:szCs w:val="26"/>
          <w:highlight w:val="white"/>
        </w:rPr>
      </w:pPr>
      <w:r>
        <w:rPr>
          <w:rFonts w:cs="Arial" w:ascii="Arial Narrow" w:hAnsi="Arial Narrow"/>
          <w:b/>
          <w:iCs/>
          <w:color w:val="000000"/>
          <w:sz w:val="26"/>
          <w:szCs w:val="26"/>
          <w:shd w:fill="FFFFFF" w:val="clear"/>
        </w:rPr>
        <w:t>Prof. Avv. Alessandro Ciatti Càimi</w:t>
      </w:r>
      <w:r>
        <w:rPr>
          <w:rFonts w:cs="Arial" w:ascii="Arial Narrow" w:hAnsi="Arial Narrow"/>
          <w:iCs/>
          <w:color w:val="000000"/>
          <w:sz w:val="26"/>
          <w:szCs w:val="26"/>
          <w:shd w:fill="FFFFFF" w:val="clear"/>
        </w:rPr>
        <w:t xml:space="preserve"> - Ordinario di Diritto Civile nell’Università di Torino – Commissione studi civilistici – Consiglio nazionale del notariato.</w:t>
      </w:r>
    </w:p>
    <w:p>
      <w:pPr>
        <w:pStyle w:val="Normal"/>
        <w:spacing w:lineRule="atLeast" w:line="300" w:before="0" w:after="0"/>
        <w:jc w:val="both"/>
        <w:rPr>
          <w:rFonts w:ascii="Arial Narrow" w:hAnsi="Arial Narrow" w:cs="Arial"/>
          <w:iCs/>
          <w:color w:val="000000"/>
          <w:sz w:val="24"/>
          <w:szCs w:val="24"/>
          <w:highlight w:val="white"/>
        </w:rPr>
      </w:pPr>
      <w:r>
        <w:rPr>
          <w:rFonts w:cs="Arial" w:ascii="Arial Narrow" w:hAnsi="Arial Narrow"/>
          <w:iCs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tLeast" w:line="300" w:before="0" w:after="0"/>
        <w:jc w:val="both"/>
        <w:rPr>
          <w:rFonts w:ascii="Arial Narrow" w:hAnsi="Arial Narrow" w:cs="Arial"/>
          <w:bCs/>
          <w:i/>
          <w:i/>
          <w:color w:val="000000" w:themeColor="text1"/>
          <w:sz w:val="28"/>
          <w:szCs w:val="28"/>
          <w:highlight w:val="white"/>
          <w:u w:val="single"/>
        </w:rPr>
      </w:pPr>
      <w:r>
        <w:rPr>
          <w:rFonts w:cs="Arial" w:ascii="Arial Narrow" w:hAnsi="Arial Narrow"/>
          <w:bCs/>
          <w:i/>
          <w:color w:val="000000" w:themeColor="text1"/>
          <w:sz w:val="28"/>
          <w:szCs w:val="28"/>
          <w:u w:val="single"/>
          <w:shd w:fill="FFFFFF" w:val="clear"/>
        </w:rPr>
        <w:t xml:space="preserve">Forma del contratto e regole di trasparenza bancaria.  </w:t>
      </w:r>
      <w:r>
        <w:rPr>
          <w:rFonts w:cs="Arial" w:ascii="Arial Narrow" w:hAnsi="Arial Narrow"/>
          <w:bCs/>
          <w:i/>
          <w:color w:val="000000" w:themeColor="text1"/>
          <w:sz w:val="28"/>
          <w:szCs w:val="28"/>
          <w:u w:val="single"/>
        </w:rPr>
        <w:t>Disciplina del credito immobiliare al consumatore. Analisi di clausole contrattuali</w:t>
      </w:r>
    </w:p>
    <w:p>
      <w:pPr>
        <w:pStyle w:val="Normal"/>
        <w:spacing w:lineRule="atLeast" w:line="300" w:before="0" w:after="0"/>
        <w:jc w:val="both"/>
        <w:rPr>
          <w:rFonts w:ascii="Arial Narrow" w:hAnsi="Arial Narrow" w:cs="Arial"/>
          <w:iCs/>
          <w:color w:val="000000"/>
          <w:sz w:val="26"/>
          <w:szCs w:val="26"/>
          <w:highlight w:val="white"/>
        </w:rPr>
      </w:pPr>
      <w:r>
        <w:rPr>
          <w:rFonts w:cs="Arial" w:ascii="Arial Narrow" w:hAnsi="Arial Narrow"/>
          <w:b/>
          <w:iCs/>
          <w:color w:val="000000"/>
          <w:sz w:val="26"/>
          <w:szCs w:val="26"/>
          <w:shd w:fill="FFFFFF" w:val="clear"/>
        </w:rPr>
        <w:t>Prof. Avv. Mia Callegari</w:t>
      </w:r>
      <w:r>
        <w:rPr>
          <w:rFonts w:cs="Arial" w:ascii="Arial Narrow" w:hAnsi="Arial Narrow"/>
          <w:iCs/>
          <w:color w:val="000000"/>
          <w:sz w:val="26"/>
          <w:szCs w:val="26"/>
          <w:shd w:fill="FFFFFF" w:val="clear"/>
        </w:rPr>
        <w:t xml:space="preserve"> - Professore Associato di Diritto Commerciale e di Diritto Bancario – Dipartimento di Giurisprudenza  - Università di Torino.</w:t>
      </w:r>
    </w:p>
    <w:p>
      <w:pPr>
        <w:pStyle w:val="Normal"/>
        <w:spacing w:lineRule="atLeast" w:line="300" w:before="0" w:after="0"/>
        <w:jc w:val="both"/>
        <w:rPr>
          <w:rFonts w:ascii="Arial Narrow" w:hAnsi="Arial Narrow" w:cs="Arial"/>
          <w:iCs/>
          <w:color w:val="000000"/>
          <w:sz w:val="24"/>
          <w:szCs w:val="24"/>
          <w:highlight w:val="white"/>
        </w:rPr>
      </w:pPr>
      <w:r>
        <w:rPr>
          <w:rFonts w:cs="Arial" w:ascii="Arial Narrow" w:hAnsi="Arial Narrow"/>
          <w:iCs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tLeast" w:line="300" w:before="0" w:after="0"/>
        <w:jc w:val="both"/>
        <w:rPr>
          <w:rFonts w:ascii="Arial Narrow" w:hAnsi="Arial Narrow" w:cs="Arial"/>
          <w:bCs/>
          <w:i/>
          <w:i/>
          <w:color w:val="000000" w:themeColor="text1"/>
          <w:sz w:val="28"/>
          <w:szCs w:val="28"/>
          <w:highlight w:val="white"/>
          <w:u w:val="single"/>
        </w:rPr>
      </w:pPr>
      <w:r>
        <w:rPr>
          <w:rFonts w:cs="Arial" w:ascii="Arial Narrow" w:hAnsi="Arial Narrow"/>
          <w:bCs/>
          <w:i/>
          <w:color w:val="000000" w:themeColor="text1"/>
          <w:sz w:val="28"/>
          <w:szCs w:val="28"/>
          <w:u w:val="single"/>
          <w:shd w:fill="FFFFFF" w:val="clear"/>
        </w:rPr>
        <w:t>Il contratto di mutuo: problematiche correlate alla sommatoria dei tassi ed al superamento del tasso soglia. Orientamenti del Tribunale di Cuneo.</w:t>
      </w:r>
    </w:p>
    <w:p>
      <w:pPr>
        <w:pStyle w:val="Normal"/>
        <w:spacing w:lineRule="atLeast" w:line="300" w:before="0" w:after="0"/>
        <w:jc w:val="both"/>
        <w:rPr>
          <w:rFonts w:ascii="Arial Narrow" w:hAnsi="Arial Narrow" w:cs="Arial"/>
          <w:iCs/>
          <w:color w:val="000000"/>
          <w:sz w:val="26"/>
          <w:szCs w:val="26"/>
          <w:highlight w:val="white"/>
        </w:rPr>
      </w:pPr>
      <w:r>
        <w:rPr>
          <w:rFonts w:cs="Arial" w:ascii="Arial Narrow" w:hAnsi="Arial Narrow"/>
          <w:b/>
          <w:iCs/>
          <w:color w:val="000000"/>
          <w:sz w:val="26"/>
          <w:szCs w:val="26"/>
          <w:shd w:fill="FFFFFF" w:val="clear"/>
        </w:rPr>
        <w:t>Dott. Gianluigi Biasci -</w:t>
      </w:r>
      <w:r>
        <w:rPr>
          <w:rFonts w:cs="Arial" w:ascii="Arial Narrow" w:hAnsi="Arial Narrow"/>
          <w:iCs/>
          <w:color w:val="000000"/>
          <w:sz w:val="26"/>
          <w:szCs w:val="26"/>
          <w:shd w:fill="FFFFFF" w:val="clear"/>
        </w:rPr>
        <w:t xml:space="preserve"> Giudice Ordinario presso il Tribunale di Cuneo</w:t>
      </w:r>
    </w:p>
    <w:p>
      <w:pPr>
        <w:pStyle w:val="Normal"/>
        <w:spacing w:lineRule="atLeast" w:line="300" w:before="0" w:after="0"/>
        <w:jc w:val="both"/>
        <w:rPr>
          <w:rFonts w:ascii="Arial Narrow" w:hAnsi="Arial Narrow" w:cs="Arial"/>
          <w:iCs/>
          <w:color w:val="000000"/>
          <w:sz w:val="26"/>
          <w:szCs w:val="26"/>
          <w:highlight w:val="white"/>
        </w:rPr>
      </w:pPr>
      <w:r>
        <w:rPr>
          <w:rFonts w:cs="Arial" w:ascii="Arial Narrow" w:hAnsi="Arial Narrow"/>
          <w:b/>
          <w:iCs/>
          <w:color w:val="000000"/>
          <w:sz w:val="26"/>
          <w:szCs w:val="26"/>
          <w:shd w:fill="FFFFFF" w:val="clear"/>
        </w:rPr>
        <w:t>Dott.ssa Rossella Chirieleison</w:t>
      </w:r>
      <w:r>
        <w:rPr>
          <w:rFonts w:cs="Arial" w:ascii="Arial Narrow" w:hAnsi="Arial Narrow"/>
          <w:iCs/>
          <w:color w:val="000000"/>
          <w:sz w:val="26"/>
          <w:szCs w:val="26"/>
          <w:shd w:fill="FFFFFF" w:val="clear"/>
        </w:rPr>
        <w:t xml:space="preserve"> – Giudice Ordinario presso il Tribunale di Cuneo.</w:t>
      </w:r>
    </w:p>
    <w:p>
      <w:pPr>
        <w:pStyle w:val="Normal"/>
        <w:spacing w:before="0" w:after="0"/>
        <w:jc w:val="both"/>
        <w:rPr>
          <w:rFonts w:ascii="Arial Narrow" w:hAnsi="Arial Narrow" w:cs="Arial"/>
          <w:iCs/>
          <w:color w:val="000000"/>
          <w:sz w:val="24"/>
          <w:szCs w:val="24"/>
          <w:highlight w:val="white"/>
        </w:rPr>
      </w:pPr>
      <w:r>
        <w:rPr>
          <w:rFonts w:cs="Arial" w:ascii="Arial Narrow" w:hAnsi="Arial Narrow"/>
          <w:iCs/>
          <w:color w:val="000000"/>
          <w:sz w:val="24"/>
          <w:szCs w:val="24"/>
          <w:shd w:fill="FFFFFF" w:val="clear"/>
        </w:rPr>
      </w:r>
    </w:p>
    <w:p>
      <w:pPr>
        <w:pStyle w:val="Normal"/>
        <w:spacing w:before="0" w:after="0"/>
        <w:jc w:val="both"/>
        <w:rPr>
          <w:rFonts w:ascii="Arial Narrow" w:hAnsi="Arial Narrow" w:cs="Arial"/>
          <w:b/>
          <w:b/>
          <w:i/>
          <w:i/>
          <w:color w:val="000000"/>
          <w:sz w:val="28"/>
          <w:szCs w:val="28"/>
          <w:highlight w:val="white"/>
        </w:rPr>
      </w:pPr>
      <w:r>
        <w:rPr>
          <w:rFonts w:cs="Arial" w:ascii="Arial Narrow" w:hAnsi="Arial Narrow"/>
          <w:b/>
          <w:i/>
          <w:color w:val="000000"/>
          <w:sz w:val="28"/>
          <w:szCs w:val="28"/>
          <w:shd w:fill="FFFFFF" w:val="clear"/>
        </w:rPr>
        <w:t>Coffee break</w:t>
      </w:r>
    </w:p>
    <w:p>
      <w:pPr>
        <w:pStyle w:val="Normal"/>
        <w:spacing w:before="0" w:after="0"/>
        <w:jc w:val="both"/>
        <w:rPr>
          <w:rFonts w:ascii="Arial Narrow" w:hAnsi="Arial Narrow" w:cs="Arial"/>
          <w:b/>
          <w:b/>
          <w:i/>
          <w:i/>
          <w:color w:val="000000"/>
          <w:sz w:val="28"/>
          <w:szCs w:val="28"/>
          <w:highlight w:val="white"/>
        </w:rPr>
      </w:pPr>
      <w:r>
        <w:rPr>
          <w:rFonts w:cs="Arial" w:ascii="Arial Narrow" w:hAnsi="Arial Narrow"/>
          <w:b/>
          <w:i/>
          <w:color w:val="000000"/>
          <w:sz w:val="28"/>
          <w:szCs w:val="28"/>
          <w:shd w:fill="FFFFFF" w:val="clear"/>
        </w:rPr>
      </w:r>
    </w:p>
    <w:p>
      <w:pPr>
        <w:pStyle w:val="Normal"/>
        <w:spacing w:before="0" w:after="0"/>
        <w:jc w:val="both"/>
        <w:rPr>
          <w:rFonts w:ascii="Arial Narrow" w:hAnsi="Arial Narrow" w:cs="Arial"/>
          <w:b/>
          <w:b/>
          <w:color w:val="000000" w:themeColor="text1"/>
          <w:sz w:val="28"/>
          <w:szCs w:val="28"/>
          <w:highlight w:val="white"/>
        </w:rPr>
      </w:pPr>
      <w:r>
        <w:rPr>
          <w:rFonts w:cs="Arial" w:ascii="Arial Narrow" w:hAnsi="Arial Narrow"/>
          <w:b/>
          <w:color w:val="000000" w:themeColor="text1"/>
          <w:sz w:val="28"/>
          <w:szCs w:val="28"/>
          <w:shd w:fill="FFFFFF" w:val="clear"/>
        </w:rPr>
        <w:t>II sessione</w:t>
      </w:r>
    </w:p>
    <w:p>
      <w:pPr>
        <w:pStyle w:val="Normal"/>
        <w:spacing w:before="0" w:after="0"/>
        <w:jc w:val="both"/>
        <w:rPr>
          <w:rFonts w:ascii="Arial Narrow" w:hAnsi="Arial Narrow" w:cs="Arial"/>
          <w:b/>
          <w:b/>
          <w:color w:val="000000" w:themeColor="text1"/>
          <w:sz w:val="28"/>
          <w:szCs w:val="28"/>
          <w:highlight w:val="white"/>
        </w:rPr>
      </w:pPr>
      <w:r>
        <w:rPr>
          <w:rFonts w:cs="Arial" w:ascii="Arial Narrow" w:hAnsi="Arial Narrow"/>
          <w:b/>
          <w:color w:val="000000" w:themeColor="text1"/>
          <w:sz w:val="28"/>
          <w:szCs w:val="28"/>
          <w:shd w:fill="FFFFFF" w:val="clear"/>
        </w:rPr>
      </w:r>
    </w:p>
    <w:p>
      <w:pPr>
        <w:pStyle w:val="Normal"/>
        <w:spacing w:before="0" w:after="0"/>
        <w:jc w:val="both"/>
        <w:rPr>
          <w:rFonts w:ascii="Arial Narrow" w:hAnsi="Arial Narrow" w:cs="Arial"/>
          <w:bCs/>
          <w:i/>
          <w:i/>
          <w:color w:val="000000" w:themeColor="text1"/>
          <w:sz w:val="28"/>
          <w:szCs w:val="28"/>
          <w:highlight w:val="white"/>
          <w:u w:val="single"/>
        </w:rPr>
      </w:pPr>
      <w:r>
        <w:rPr>
          <w:rFonts w:cs="Arial" w:ascii="Arial Narrow" w:hAnsi="Arial Narrow"/>
          <w:bCs/>
          <w:i/>
          <w:color w:val="000000" w:themeColor="text1"/>
          <w:sz w:val="28"/>
          <w:szCs w:val="28"/>
          <w:u w:val="single"/>
          <w:shd w:fill="FFFFFF" w:val="clear"/>
        </w:rPr>
        <w:t>Finanziamenti a rimborso rateale: ammortamento alla francese, interessi moratori e usura. Soluzioni giurisprudenziali e questioni aperte.</w:t>
      </w:r>
    </w:p>
    <w:p>
      <w:pPr>
        <w:pStyle w:val="Normal"/>
        <w:spacing w:before="0" w:after="0"/>
        <w:jc w:val="both"/>
        <w:rPr>
          <w:rFonts w:ascii="Arial Narrow" w:hAnsi="Arial Narrow" w:cs="Arial"/>
          <w:iCs/>
          <w:color w:val="000000"/>
          <w:sz w:val="26"/>
          <w:szCs w:val="26"/>
          <w:highlight w:val="white"/>
        </w:rPr>
      </w:pPr>
      <w:r>
        <w:rPr>
          <w:rFonts w:cs="Arial" w:ascii="Arial Narrow" w:hAnsi="Arial Narrow"/>
          <w:b/>
          <w:iCs/>
          <w:color w:val="000000"/>
          <w:sz w:val="26"/>
          <w:szCs w:val="26"/>
          <w:shd w:fill="FFFFFF" w:val="clear"/>
        </w:rPr>
        <w:t>Dott. Gian Paolo Macagno</w:t>
      </w:r>
      <w:r>
        <w:rPr>
          <w:rFonts w:cs="Arial" w:ascii="Arial Narrow" w:hAnsi="Arial Narrow"/>
          <w:i/>
          <w:iCs/>
          <w:color w:val="000000"/>
          <w:sz w:val="26"/>
          <w:szCs w:val="26"/>
          <w:shd w:fill="FFFFFF" w:val="clear"/>
        </w:rPr>
        <w:t xml:space="preserve"> </w:t>
      </w:r>
      <w:r>
        <w:rPr>
          <w:rFonts w:cs="Arial" w:ascii="Arial Narrow" w:hAnsi="Arial Narrow"/>
          <w:iCs/>
          <w:color w:val="000000"/>
          <w:sz w:val="26"/>
          <w:szCs w:val="26"/>
          <w:shd w:fill="FFFFFF" w:val="clear"/>
        </w:rPr>
        <w:t>– Consigliere Prima Sezione Civile Corte d’Appello di Torino – Consigliere Sezione Specializzata in materia d’impresa Corte d’Appello di Torino.</w:t>
      </w:r>
    </w:p>
    <w:p>
      <w:pPr>
        <w:pStyle w:val="Normal"/>
        <w:spacing w:before="0" w:after="0"/>
        <w:jc w:val="both"/>
        <w:rPr>
          <w:rFonts w:ascii="Arial Narrow" w:hAnsi="Arial Narrow" w:cs="Arial"/>
          <w:iCs/>
          <w:color w:val="000000"/>
          <w:sz w:val="24"/>
          <w:szCs w:val="24"/>
          <w:highlight w:val="white"/>
        </w:rPr>
      </w:pPr>
      <w:r>
        <w:rPr>
          <w:rFonts w:cs="Arial" w:ascii="Arial Narrow" w:hAnsi="Arial Narrow"/>
          <w:iCs/>
          <w:color w:val="000000"/>
          <w:sz w:val="24"/>
          <w:szCs w:val="24"/>
          <w:shd w:fill="FFFFFF" w:val="clear"/>
        </w:rPr>
        <w:tab/>
      </w:r>
    </w:p>
    <w:p>
      <w:pPr>
        <w:pStyle w:val="Normal"/>
        <w:spacing w:lineRule="atLeast" w:line="300" w:before="0" w:after="0"/>
        <w:jc w:val="both"/>
        <w:rPr>
          <w:rFonts w:ascii="Arial Narrow" w:hAnsi="Arial Narrow" w:cs="Arial"/>
          <w:bCs/>
          <w:i/>
          <w:i/>
          <w:color w:val="000000" w:themeColor="text1"/>
          <w:sz w:val="28"/>
          <w:szCs w:val="28"/>
          <w:highlight w:val="white"/>
          <w:u w:val="single"/>
        </w:rPr>
      </w:pPr>
      <w:r>
        <w:rPr>
          <w:rFonts w:cs="Arial" w:ascii="Arial Narrow" w:hAnsi="Arial Narrow"/>
          <w:bCs/>
          <w:i/>
          <w:color w:val="000000" w:themeColor="text1"/>
          <w:sz w:val="28"/>
          <w:szCs w:val="28"/>
          <w:u w:val="single"/>
          <w:shd w:fill="FFFFFF" w:val="clear"/>
        </w:rPr>
        <w:t>Metodologia di calcolo del tasso usurario e conseguenze del superamento del tasso soglia</w:t>
      </w:r>
    </w:p>
    <w:p>
      <w:pPr>
        <w:pStyle w:val="Normal"/>
        <w:spacing w:lineRule="atLeast" w:line="300" w:before="0" w:after="0"/>
        <w:jc w:val="both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b/>
          <w:iCs/>
          <w:sz w:val="26"/>
          <w:szCs w:val="26"/>
        </w:rPr>
        <w:t>Dott. Ermanno Garola</w:t>
      </w:r>
      <w:r>
        <w:rPr>
          <w:rFonts w:ascii="Arial Narrow" w:hAnsi="Arial Narrow"/>
          <w:iCs/>
          <w:sz w:val="26"/>
          <w:szCs w:val="26"/>
        </w:rPr>
        <w:t xml:space="preserve"> – Dottore Commercialista e Revisore legale dei conti.</w:t>
      </w:r>
    </w:p>
    <w:p>
      <w:pPr>
        <w:pStyle w:val="Normal"/>
        <w:spacing w:before="0"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ab/>
      </w:r>
    </w:p>
    <w:p>
      <w:pPr>
        <w:pStyle w:val="Normal"/>
        <w:spacing w:lineRule="atLeast" w:line="300" w:before="0" w:after="0"/>
        <w:jc w:val="both"/>
        <w:rPr>
          <w:rFonts w:ascii="Arial Narrow" w:hAnsi="Arial Narrow" w:cs="Arial"/>
          <w:bCs/>
          <w:i/>
          <w:i/>
          <w:color w:val="000000" w:themeColor="text1"/>
          <w:sz w:val="28"/>
          <w:szCs w:val="28"/>
          <w:highlight w:val="white"/>
          <w:u w:val="single"/>
        </w:rPr>
      </w:pPr>
      <w:r>
        <w:rPr>
          <w:rFonts w:cs="Arial" w:ascii="Arial Narrow" w:hAnsi="Arial Narrow"/>
          <w:bCs/>
          <w:i/>
          <w:color w:val="000000" w:themeColor="text1"/>
          <w:sz w:val="28"/>
          <w:szCs w:val="28"/>
          <w:u w:val="single"/>
          <w:shd w:fill="FFFFFF" w:val="clear"/>
        </w:rPr>
        <w:t>Mutui di riposizionamento e ristrutturazione dei debiti. Chisura dei lavori e relazione di sintesi</w:t>
      </w:r>
    </w:p>
    <w:p>
      <w:pPr>
        <w:pStyle w:val="Normal"/>
        <w:spacing w:lineRule="atLeast" w:line="300" w:before="0" w:after="0"/>
        <w:jc w:val="both"/>
        <w:rPr>
          <w:rFonts w:ascii="Arial Narrow" w:hAnsi="Arial Narrow" w:cs="Arial"/>
          <w:b/>
          <w:b/>
          <w:bCs/>
          <w:color w:val="000000"/>
          <w:sz w:val="26"/>
          <w:szCs w:val="26"/>
          <w:highlight w:val="white"/>
        </w:rPr>
      </w:pPr>
      <w:r>
        <w:rPr>
          <w:rFonts w:ascii="Arial Narrow" w:hAnsi="Arial Narrow"/>
          <w:b/>
          <w:iCs/>
          <w:sz w:val="26"/>
          <w:szCs w:val="26"/>
        </w:rPr>
        <w:t>Avv. Marco Pellegrino</w:t>
      </w:r>
      <w:r>
        <w:rPr>
          <w:rFonts w:ascii="Arial Narrow" w:hAnsi="Arial Narrow"/>
          <w:iCs/>
          <w:sz w:val="26"/>
          <w:szCs w:val="26"/>
        </w:rPr>
        <w:t xml:space="preserve"> – Avvocato del Foro di Cuneo.</w:t>
      </w:r>
    </w:p>
    <w:p>
      <w:pPr>
        <w:pStyle w:val="Normal"/>
        <w:spacing w:before="0" w:after="0"/>
        <w:jc w:val="both"/>
        <w:rPr>
          <w:rFonts w:ascii="Arial Narrow" w:hAnsi="Arial Narrow"/>
          <w:i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 Narrow" w:hAnsi="Arial Narrow"/>
          <w:i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L’evento è organizzato dall’Ordine degli Avvocati di Cuneo ed è accreditato con l’attribuzione di 3 crediti formativi.</w:t>
      </w:r>
    </w:p>
    <w:p>
      <w:pPr>
        <w:pStyle w:val="Normal"/>
        <w:spacing w:before="0"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L’iscrizione dovrà essere effettuata tramite la piattaforma RICONOSCO entro il 4/12/2019.</w:t>
      </w:r>
    </w:p>
    <w:p>
      <w:pPr>
        <w:pStyle w:val="Normal"/>
        <w:spacing w:before="0"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 la collaborazione di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drawing>
          <wp:anchor behindDoc="0" distT="0" distB="0" distL="0" distR="114300" simplePos="0" locked="0" layoutInCell="1" allowOverlap="1" relativeHeight="3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727835" cy="864235"/>
            <wp:effectExtent l="0" t="0" r="0" b="0"/>
            <wp:wrapSquare wrapText="bothSides"/>
            <wp:docPr id="3" name="Immagine 1" descr="C:\Users\Utente02\Desktop\Visura-logo-Tecnopolo-Tiburt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C:\Users\Utente02\Desktop\Visura-logo-Tecnopolo-Tiburti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  <w:r>
        <w:rPr>
          <w:b/>
          <w:bCs/>
        </w:rPr>
        <w:t xml:space="preserve">                   </w:t>
      </w:r>
      <w:r>
        <w:rPr/>
        <w:drawing>
          <wp:inline distT="0" distB="0" distL="0" distR="0">
            <wp:extent cx="1061720" cy="713105"/>
            <wp:effectExtent l="0" t="0" r="0" b="0"/>
            <wp:docPr id="4" name="Immagine 2" descr="C:\Users\Utente02\Desktop\Wolters-Kluwer-logo_1554908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 descr="C:\Users\Utente02\Desktop\Wolters-Kluwer-logo_155490847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</w:p>
    <w:sectPr>
      <w:headerReference w:type="even" r:id="rId6"/>
      <w:headerReference w:type="default" r:id="rId7"/>
      <w:headerReference w:type="first" r:id="rId8"/>
      <w:type w:val="nextPage"/>
      <w:pgSz w:w="11906" w:h="16838"/>
      <w:pgMar w:left="1021" w:right="1021" w:header="567" w:top="720" w:footer="0" w:bottom="72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left" w:pos="8955" w:leader="none"/>
        <w:tab w:val="right" w:pos="9638" w:leader="none"/>
      </w:tabs>
      <w:rPr/>
    </w:pPr>
    <w:r>
      <w:rPr/>
      <w:t xml:space="preserve">                                                                                                                                             </w:t>
    </w:r>
    <w:r>
      <w:rPr/>
      <w:t xml:space="preserve">Con il patrocinio di </w:t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ab/>
      <w:t xml:space="preserve">                                                                                                                                    E con il patrocinio di</w:t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033cc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d436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d4366"/>
    <w:rPr/>
  </w:style>
  <w:style w:type="character" w:styleId="ListLabel1">
    <w:name w:val="ListLabel 1"/>
    <w:qFormat/>
    <w:rPr>
      <w:rFonts w:eastAsia="Calibri" w:cs="Arial"/>
      <w:color w:val="000000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Aria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55c5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033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unhideWhenUsed/>
    <w:rsid w:val="00bd436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bd436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Trio_Office/6.2.8.2$Windows_x86 LibreOffice_project/</Application>
  <Pages>2</Pages>
  <Words>311</Words>
  <Characters>1921</Characters>
  <CharactersWithSpaces>2726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2019-12-04T11:08:00Z</dcterms:created>
  <dc:creator>Utente</dc:creator>
  <dc:description/>
  <dc:language>it-IT</dc:language>
  <cp:lastModifiedBy>Mia Callegari</cp:lastModifiedBy>
  <cp:lastPrinted>2019-11-07T14:04:00Z</cp:lastPrinted>
  <dcterms:modified xsi:type="dcterms:W3CDTF">2019-12-04T11:08:00Z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-1056732118</vt:i4>
  </property>
</Properties>
</file>